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5EDD7" w14:textId="64F1D3A6" w:rsidR="00344B21" w:rsidRDefault="00344B21">
      <w:pPr>
        <w:pStyle w:val="Titre"/>
        <w:jc w:val="center"/>
        <w:rPr>
          <w:b/>
          <w:bCs/>
          <w:color w:val="0070C0"/>
          <w:sz w:val="40"/>
          <w:szCs w:val="40"/>
          <w:u w:val="single"/>
        </w:rPr>
      </w:pPr>
      <w:bookmarkStart w:id="0" w:name="_Hlk130936083"/>
      <w:bookmarkEnd w:id="0"/>
      <w:r w:rsidRPr="00BF72CC">
        <w:rPr>
          <w:b/>
          <w:bCs/>
          <w:color w:val="C00000"/>
          <w:sz w:val="32"/>
          <w:szCs w:val="32"/>
        </w:rPr>
        <w:t>Newsletter #</w:t>
      </w:r>
      <w:r>
        <w:rPr>
          <w:b/>
          <w:bCs/>
          <w:color w:val="C00000"/>
          <w:sz w:val="32"/>
          <w:szCs w:val="32"/>
        </w:rPr>
        <w:t xml:space="preserve"> 2</w:t>
      </w:r>
      <w:r>
        <w:rPr>
          <w:b/>
          <w:bCs/>
          <w:color w:val="C00000"/>
          <w:sz w:val="32"/>
          <w:szCs w:val="32"/>
        </w:rPr>
        <w:t>7 - septembre</w:t>
      </w:r>
      <w:r>
        <w:rPr>
          <w:b/>
          <w:bCs/>
          <w:color w:val="C00000"/>
          <w:sz w:val="32"/>
          <w:szCs w:val="32"/>
        </w:rPr>
        <w:t xml:space="preserve"> 2024</w:t>
      </w:r>
    </w:p>
    <w:p w14:paraId="45D44B80" w14:textId="3EBB1340" w:rsidR="004C6AD3" w:rsidRPr="00344B21" w:rsidRDefault="00000000" w:rsidP="00344B21">
      <w:pPr>
        <w:pStyle w:val="Titre"/>
        <w:jc w:val="center"/>
        <w:rPr>
          <w:b/>
          <w:bCs/>
          <w:color w:val="C00000"/>
          <w:sz w:val="32"/>
          <w:szCs w:val="32"/>
        </w:rPr>
      </w:pPr>
      <w:r w:rsidRPr="00344B21">
        <w:rPr>
          <w:b/>
          <w:bCs/>
          <w:color w:val="C00000"/>
          <w:sz w:val="32"/>
          <w:szCs w:val="32"/>
        </w:rPr>
        <w:t xml:space="preserve">Une grande Victoire pour Sauvegarde Sud-Morvan </w:t>
      </w:r>
      <w:r w:rsidR="00344B21">
        <w:rPr>
          <w:b/>
          <w:bCs/>
          <w:color w:val="C00000"/>
          <w:sz w:val="32"/>
          <w:szCs w:val="32"/>
        </w:rPr>
        <w:br/>
      </w:r>
      <w:r w:rsidRPr="00344B21">
        <w:rPr>
          <w:b/>
          <w:bCs/>
          <w:color w:val="C00000"/>
          <w:sz w:val="32"/>
          <w:szCs w:val="32"/>
        </w:rPr>
        <w:t xml:space="preserve">et </w:t>
      </w:r>
      <w:r w:rsidR="00344B21" w:rsidRPr="00344B21">
        <w:rPr>
          <w:b/>
          <w:bCs/>
          <w:color w:val="C00000"/>
          <w:sz w:val="32"/>
          <w:szCs w:val="32"/>
        </w:rPr>
        <w:t>l</w:t>
      </w:r>
      <w:r w:rsidRPr="00344B21">
        <w:rPr>
          <w:b/>
          <w:bCs/>
          <w:color w:val="C00000"/>
          <w:sz w:val="32"/>
          <w:szCs w:val="32"/>
        </w:rPr>
        <w:t>es associations de défense de l’environnement partenaires :</w:t>
      </w:r>
    </w:p>
    <w:p w14:paraId="7C614F47" w14:textId="4F0EFCBF" w:rsidR="004C6AD3" w:rsidRPr="00344B21" w:rsidRDefault="00344B21" w:rsidP="00344B21">
      <w:pPr>
        <w:pStyle w:val="Titre"/>
        <w:jc w:val="center"/>
        <w:rPr>
          <w:b/>
          <w:bCs/>
          <w:color w:val="C00000"/>
          <w:sz w:val="32"/>
          <w:szCs w:val="32"/>
        </w:rPr>
      </w:pPr>
      <w:r w:rsidRPr="00344B21">
        <w:rPr>
          <w:b/>
          <w:bCs/>
          <w:color w:val="C00000"/>
          <w:sz w:val="32"/>
          <w:szCs w:val="32"/>
        </w:rPr>
        <w:t>Le</w:t>
      </w:r>
      <w:r w:rsidR="00000000" w:rsidRPr="00344B21">
        <w:rPr>
          <w:b/>
          <w:bCs/>
          <w:color w:val="C00000"/>
          <w:sz w:val="32"/>
          <w:szCs w:val="32"/>
        </w:rPr>
        <w:t xml:space="preserve"> projet éolien de Marly-sous-Issy est abandonné par Voltalia </w:t>
      </w:r>
    </w:p>
    <w:p w14:paraId="0D030B99" w14:textId="1C270A14" w:rsidR="00344B21" w:rsidRDefault="00344B21" w:rsidP="00264BB9">
      <w:pPr>
        <w:pStyle w:val="Titre2"/>
        <w:jc w:val="center"/>
        <w:rPr>
          <w:rFonts w:asciiTheme="minorHAnsi" w:hAnsiTheme="minorHAnsi" w:cstheme="minorHAnsi"/>
          <w:b/>
          <w:bCs/>
          <w:color w:val="00B050"/>
        </w:rPr>
      </w:pPr>
      <w:r w:rsidRPr="00532716">
        <w:rPr>
          <w:rFonts w:asciiTheme="minorHAnsi" w:hAnsiTheme="minorHAnsi" w:cstheme="minorHAnsi"/>
          <w:b/>
          <w:bCs/>
          <w:color w:val="00B050"/>
        </w:rPr>
        <w:t>Le mot du Président</w:t>
      </w:r>
    </w:p>
    <w:p w14:paraId="38A77E4A" w14:textId="77777777" w:rsidR="007E6CF7" w:rsidRDefault="007E6CF7" w:rsidP="007E6CF7">
      <w:r>
        <w:t xml:space="preserve">Chères adhérentes, chers adhérents, </w:t>
      </w:r>
    </w:p>
    <w:p w14:paraId="23DDA195" w14:textId="77777777" w:rsidR="007E6CF7" w:rsidRDefault="007E6CF7" w:rsidP="007E6CF7"/>
    <w:p w14:paraId="7C8C6E35" w14:textId="0CA4A86A" w:rsidR="00344B21" w:rsidRDefault="00344B21" w:rsidP="00590CA0">
      <w:pPr>
        <w:jc w:val="center"/>
        <w:rPr>
          <w:b/>
          <w:bCs/>
          <w:color w:val="C00000"/>
          <w:sz w:val="36"/>
          <w:szCs w:val="36"/>
        </w:rPr>
      </w:pPr>
      <w:r w:rsidRPr="00590CA0">
        <w:rPr>
          <w:b/>
          <w:bCs/>
          <w:color w:val="C00000"/>
          <w:sz w:val="36"/>
          <w:szCs w:val="36"/>
        </w:rPr>
        <w:t>Victoire !</w:t>
      </w:r>
    </w:p>
    <w:p w14:paraId="6D1DD3EE" w14:textId="2C583A96" w:rsidR="00B51C53" w:rsidRPr="00590CA0" w:rsidRDefault="00B51C53" w:rsidP="00590CA0">
      <w:pPr>
        <w:jc w:val="center"/>
        <w:rPr>
          <w:sz w:val="36"/>
          <w:szCs w:val="36"/>
        </w:rPr>
      </w:pPr>
      <w:r>
        <w:rPr>
          <w:noProof/>
        </w:rPr>
        <w:drawing>
          <wp:inline distT="0" distB="0" distL="0" distR="0" wp14:anchorId="4FCC6056" wp14:editId="78949D19">
            <wp:extent cx="1312546" cy="847725"/>
            <wp:effectExtent l="0" t="0" r="1905" b="9525"/>
            <wp:docPr id="1" name="Image 1" descr="Une image contenant boisson, Vaisselle de bar, Verrerie, Verre à v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boisson, Vaisselle de bar, Verrerie, Verre à vin&#10;&#10;Description générée automatiquement"/>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51639" cy="872974"/>
                    </a:xfrm>
                    <a:prstGeom prst="rect">
                      <a:avLst/>
                    </a:prstGeom>
                  </pic:spPr>
                </pic:pic>
              </a:graphicData>
            </a:graphic>
          </wp:inline>
        </w:drawing>
      </w:r>
    </w:p>
    <w:p w14:paraId="2A8509D7" w14:textId="77777777" w:rsidR="00B51C53" w:rsidRDefault="00B51C53">
      <w:pPr>
        <w:pStyle w:val="Standard"/>
        <w:jc w:val="both"/>
        <w:rPr>
          <w:rFonts w:ascii="Calibri" w:hAnsi="Calibri"/>
        </w:rPr>
      </w:pPr>
    </w:p>
    <w:p w14:paraId="0B08F946" w14:textId="20BA6A19" w:rsidR="007E6CF7" w:rsidRDefault="007E6CF7">
      <w:pPr>
        <w:pStyle w:val="Standard"/>
        <w:jc w:val="both"/>
        <w:rPr>
          <w:rFonts w:ascii="Calibri" w:hAnsi="Calibri"/>
        </w:rPr>
      </w:pPr>
      <w:r>
        <w:rPr>
          <w:rFonts w:ascii="Calibri" w:hAnsi="Calibri"/>
        </w:rPr>
        <w:t xml:space="preserve">Ce mois-ci, notre Newsletter sera </w:t>
      </w:r>
      <w:r w:rsidR="00E85D15">
        <w:rPr>
          <w:rFonts w:ascii="Calibri" w:hAnsi="Calibri"/>
        </w:rPr>
        <w:t xml:space="preserve">presque </w:t>
      </w:r>
      <w:r>
        <w:rPr>
          <w:rFonts w:ascii="Calibri" w:hAnsi="Calibri"/>
        </w:rPr>
        <w:t>exclusivement dédiée à cette victoire juste et méritée</w:t>
      </w:r>
      <w:r w:rsidR="00590CA0">
        <w:rPr>
          <w:rFonts w:ascii="Calibri" w:hAnsi="Calibri"/>
        </w:rPr>
        <w:t xml:space="preserve"> contre le projet de Marly. </w:t>
      </w:r>
      <w:r>
        <w:rPr>
          <w:rFonts w:ascii="Calibri" w:hAnsi="Calibri"/>
        </w:rPr>
        <w:t xml:space="preserve"> </w:t>
      </w:r>
    </w:p>
    <w:p w14:paraId="13CE578E" w14:textId="5E35F407" w:rsidR="007E6CF7" w:rsidRDefault="007E6CF7">
      <w:pPr>
        <w:pStyle w:val="Standard"/>
        <w:jc w:val="both"/>
        <w:rPr>
          <w:rFonts w:ascii="Calibri" w:hAnsi="Calibri"/>
        </w:rPr>
      </w:pPr>
      <w:r>
        <w:rPr>
          <w:rFonts w:ascii="Calibri" w:hAnsi="Calibri"/>
        </w:rPr>
        <w:t xml:space="preserve">Ce n’est pas la première puisque </w:t>
      </w:r>
      <w:r w:rsidR="00E85D15">
        <w:rPr>
          <w:rFonts w:ascii="Calibri" w:hAnsi="Calibri"/>
        </w:rPr>
        <w:t xml:space="preserve">nous avons contraint </w:t>
      </w:r>
      <w:r>
        <w:rPr>
          <w:rFonts w:ascii="Calibri" w:hAnsi="Calibri"/>
        </w:rPr>
        <w:t xml:space="preserve">VSB Energies </w:t>
      </w:r>
      <w:proofErr w:type="spellStart"/>
      <w:r w:rsidR="00E85D15">
        <w:rPr>
          <w:rFonts w:ascii="Calibri" w:hAnsi="Calibri"/>
        </w:rPr>
        <w:t>à</w:t>
      </w:r>
      <w:proofErr w:type="spellEnd"/>
      <w:r>
        <w:rPr>
          <w:rFonts w:ascii="Calibri" w:hAnsi="Calibri"/>
        </w:rPr>
        <w:t xml:space="preserve"> abandonn</w:t>
      </w:r>
      <w:r w:rsidR="00E85D15">
        <w:rPr>
          <w:rFonts w:ascii="Calibri" w:hAnsi="Calibri"/>
        </w:rPr>
        <w:t>er</w:t>
      </w:r>
      <w:r>
        <w:rPr>
          <w:rFonts w:ascii="Calibri" w:hAnsi="Calibri"/>
        </w:rPr>
        <w:t xml:space="preserve"> le projet de Neuvy-Grandchamp, mais </w:t>
      </w:r>
      <w:r w:rsidR="00E85D15">
        <w:rPr>
          <w:rFonts w:ascii="Calibri" w:hAnsi="Calibri"/>
        </w:rPr>
        <w:t>celle de Marly a été longue et</w:t>
      </w:r>
      <w:r>
        <w:rPr>
          <w:rFonts w:ascii="Calibri" w:hAnsi="Calibri"/>
        </w:rPr>
        <w:t xml:space="preserve"> difficile.</w:t>
      </w:r>
    </w:p>
    <w:p w14:paraId="65F1A397" w14:textId="5DD445AC" w:rsidR="004C6AD3" w:rsidRDefault="00000000">
      <w:pPr>
        <w:pStyle w:val="Standard"/>
        <w:jc w:val="both"/>
        <w:rPr>
          <w:rFonts w:ascii="Calibri" w:hAnsi="Calibri"/>
        </w:rPr>
      </w:pPr>
      <w:r>
        <w:rPr>
          <w:rFonts w:ascii="Calibri" w:hAnsi="Calibri"/>
        </w:rPr>
        <w:t xml:space="preserve">Il aura </w:t>
      </w:r>
      <w:r w:rsidR="007E6CF7">
        <w:rPr>
          <w:rFonts w:ascii="Calibri" w:hAnsi="Calibri"/>
        </w:rPr>
        <w:t xml:space="preserve">en effet </w:t>
      </w:r>
      <w:r>
        <w:rPr>
          <w:rFonts w:ascii="Calibri" w:hAnsi="Calibri"/>
        </w:rPr>
        <w:t xml:space="preserve">fallu </w:t>
      </w:r>
      <w:r w:rsidR="007E6CF7" w:rsidRPr="007E6CF7">
        <w:rPr>
          <w:rFonts w:ascii="Calibri" w:hAnsi="Calibri"/>
          <w:u w:val="single"/>
        </w:rPr>
        <w:t>huit</w:t>
      </w:r>
      <w:r w:rsidRPr="007E6CF7">
        <w:rPr>
          <w:rFonts w:ascii="Calibri" w:hAnsi="Calibri"/>
          <w:u w:val="single"/>
        </w:rPr>
        <w:t xml:space="preserve"> ans</w:t>
      </w:r>
      <w:r>
        <w:rPr>
          <w:rFonts w:ascii="Calibri" w:hAnsi="Calibri"/>
        </w:rPr>
        <w:t xml:space="preserve"> d’un combat judiciaire aux multiples facettes, </w:t>
      </w:r>
      <w:r w:rsidR="00106161">
        <w:rPr>
          <w:rFonts w:ascii="Calibri" w:hAnsi="Calibri"/>
        </w:rPr>
        <w:t>mené</w:t>
      </w:r>
      <w:r>
        <w:rPr>
          <w:rFonts w:ascii="Calibri" w:hAnsi="Calibri"/>
        </w:rPr>
        <w:t xml:space="preserve"> par Sauvegarde Sud-Morvan </w:t>
      </w:r>
      <w:r w:rsidR="00106161">
        <w:rPr>
          <w:rFonts w:ascii="Calibri" w:hAnsi="Calibri"/>
        </w:rPr>
        <w:t xml:space="preserve">et </w:t>
      </w:r>
      <w:r>
        <w:rPr>
          <w:rFonts w:ascii="Calibri" w:hAnsi="Calibri"/>
        </w:rPr>
        <w:t>Nature et Paysages en Sud-Morvan, pour que Voltalia abandonne son projet d’éoliennes géantes dans le Sud-Morvan.</w:t>
      </w:r>
    </w:p>
    <w:p w14:paraId="1571B82A" w14:textId="2C692B74" w:rsidR="00E12CF2" w:rsidRDefault="007E6CF7" w:rsidP="00E85D15">
      <w:pPr>
        <w:pStyle w:val="Standard"/>
        <w:spacing w:after="0"/>
        <w:jc w:val="both"/>
        <w:rPr>
          <w:rFonts w:ascii="Calibri" w:hAnsi="Calibri"/>
        </w:rPr>
      </w:pPr>
      <w:r>
        <w:rPr>
          <w:rFonts w:ascii="Calibri" w:hAnsi="Calibri"/>
        </w:rPr>
        <w:t xml:space="preserve">Il nous a semblé important de </w:t>
      </w:r>
      <w:r w:rsidR="00E12CF2">
        <w:rPr>
          <w:rFonts w:ascii="Calibri" w:hAnsi="Calibri"/>
        </w:rPr>
        <w:t>vous raconter</w:t>
      </w:r>
      <w:r>
        <w:rPr>
          <w:rFonts w:ascii="Calibri" w:hAnsi="Calibri"/>
        </w:rPr>
        <w:t xml:space="preserve"> les rebonds de notre combat</w:t>
      </w:r>
      <w:r w:rsidR="00E85D15">
        <w:rPr>
          <w:rFonts w:ascii="Calibri" w:hAnsi="Calibri"/>
        </w:rPr>
        <w:t xml:space="preserve"> et d’en tirer quelques leçons en final</w:t>
      </w:r>
      <w:r w:rsidR="00E12CF2">
        <w:rPr>
          <w:rFonts w:ascii="Calibri" w:hAnsi="Calibri"/>
        </w:rPr>
        <w:t xml:space="preserve">. </w:t>
      </w:r>
    </w:p>
    <w:p w14:paraId="05289B93" w14:textId="66DA72DA" w:rsidR="00E85D15" w:rsidRDefault="00E85D15" w:rsidP="00E85D15">
      <w:pPr>
        <w:pStyle w:val="Standard"/>
        <w:spacing w:after="0"/>
        <w:jc w:val="both"/>
        <w:rPr>
          <w:rFonts w:ascii="Calibri" w:hAnsi="Calibri"/>
        </w:rPr>
      </w:pPr>
    </w:p>
    <w:p w14:paraId="028F111E" w14:textId="141047E4" w:rsidR="00106161" w:rsidRDefault="00E85D15" w:rsidP="00E85D15">
      <w:pPr>
        <w:pStyle w:val="Standard"/>
        <w:spacing w:after="0"/>
        <w:jc w:val="both"/>
        <w:rPr>
          <w:rFonts w:ascii="Calibri" w:hAnsi="Calibri"/>
        </w:rPr>
      </w:pPr>
      <w:r>
        <w:rPr>
          <w:rFonts w:ascii="Calibri" w:hAnsi="Calibri"/>
        </w:rPr>
        <w:t>Auparavant, je voudrais remercier les bénévoles de SSM et des autres associations, qui ont apporté leur contribution, en particulier dans l’observation des espèces protégées et des oiseaux migrateurs, mais aussi chacun et chacune d’entre vous, les adhérentes et adhérents, qui ont cotisé généreusement pour nous donner les moyens financiers de choisir les meilleurs avocats et les meilleurs experts</w:t>
      </w:r>
      <w:r w:rsidR="00106161">
        <w:rPr>
          <w:rFonts w:ascii="Calibri" w:hAnsi="Calibri"/>
        </w:rPr>
        <w:t xml:space="preserve">. </w:t>
      </w:r>
    </w:p>
    <w:p w14:paraId="0A5B49D5" w14:textId="77777777" w:rsidR="00106161" w:rsidRDefault="00106161" w:rsidP="00E85D15">
      <w:pPr>
        <w:pStyle w:val="Standard"/>
        <w:spacing w:after="0"/>
        <w:jc w:val="both"/>
        <w:rPr>
          <w:rFonts w:ascii="Calibri" w:hAnsi="Calibri"/>
        </w:rPr>
      </w:pPr>
    </w:p>
    <w:p w14:paraId="165466A6" w14:textId="143A4DE6" w:rsidR="00106161" w:rsidRDefault="00106161" w:rsidP="00E85D15">
      <w:pPr>
        <w:pStyle w:val="Standard"/>
        <w:spacing w:after="0"/>
        <w:jc w:val="both"/>
        <w:rPr>
          <w:rFonts w:ascii="Calibri" w:hAnsi="Calibri"/>
        </w:rPr>
      </w:pPr>
      <w:r>
        <w:rPr>
          <w:rFonts w:ascii="Calibri" w:hAnsi="Calibri"/>
        </w:rPr>
        <w:t xml:space="preserve">Un remerciement tout particulier à Hervé de Chessé, notre premier président, qui a mené les premiers combats avec ténacité et persévérance et à </w:t>
      </w:r>
      <w:r w:rsidR="00590CA0">
        <w:rPr>
          <w:rFonts w:ascii="Calibri" w:hAnsi="Calibri"/>
        </w:rPr>
        <w:t xml:space="preserve">notre expert (bénévole) </w:t>
      </w:r>
      <w:r>
        <w:rPr>
          <w:rFonts w:ascii="Calibri" w:hAnsi="Calibri"/>
        </w:rPr>
        <w:t xml:space="preserve">Patrick Coton qui a </w:t>
      </w:r>
      <w:r w:rsidR="00590CA0">
        <w:rPr>
          <w:rFonts w:ascii="Calibri" w:hAnsi="Calibri"/>
        </w:rPr>
        <w:t xml:space="preserve">monté de précieux dossiers de biodiversité pour nos avocats. </w:t>
      </w:r>
    </w:p>
    <w:p w14:paraId="4C6CBAD7" w14:textId="77777777" w:rsidR="004C6AD3" w:rsidRDefault="00000000">
      <w:pPr>
        <w:pStyle w:val="Titre1"/>
        <w:spacing w:line="240" w:lineRule="auto"/>
      </w:pPr>
      <w:r>
        <w:rPr>
          <w:rFonts w:ascii="Calibri" w:hAnsi="Calibri"/>
          <w:b/>
          <w:bCs/>
          <w:color w:val="C00000"/>
          <w:sz w:val="28"/>
          <w:szCs w:val="28"/>
        </w:rPr>
        <w:t>Récit d’une histoire à rebonds.</w:t>
      </w:r>
    </w:p>
    <w:p w14:paraId="024898A3" w14:textId="77777777" w:rsidR="004C6AD3" w:rsidRDefault="00000000">
      <w:pPr>
        <w:pStyle w:val="Titre2"/>
      </w:pPr>
      <w:r>
        <w:rPr>
          <w:rFonts w:ascii="Calibri" w:hAnsi="Calibri"/>
          <w:b/>
          <w:bCs/>
          <w:color w:val="00B050"/>
          <w:sz w:val="24"/>
          <w:szCs w:val="24"/>
        </w:rPr>
        <w:t>En 2016, Voltalia révèle un premier projet de 16 éoliennes (hauteur 180m)</w:t>
      </w:r>
    </w:p>
    <w:p w14:paraId="5A1A3F8E" w14:textId="61A0CDF9" w:rsidR="00E12CF2" w:rsidRDefault="00E12CF2">
      <w:pPr>
        <w:pStyle w:val="Standard"/>
        <w:jc w:val="both"/>
        <w:rPr>
          <w:rFonts w:ascii="Calibri" w:hAnsi="Calibri"/>
        </w:rPr>
      </w:pPr>
      <w:r>
        <w:rPr>
          <w:rFonts w:ascii="Calibri" w:hAnsi="Calibri"/>
        </w:rPr>
        <w:t xml:space="preserve">Ce projet </w:t>
      </w:r>
      <w:r>
        <w:rPr>
          <w:rFonts w:ascii="Calibri" w:hAnsi="Calibri"/>
        </w:rPr>
        <w:t xml:space="preserve">piloté par Voltalia </w:t>
      </w:r>
      <w:r>
        <w:rPr>
          <w:rFonts w:ascii="Calibri" w:hAnsi="Calibri"/>
        </w:rPr>
        <w:t>a réellement démarré en 2014, après que trois</w:t>
      </w:r>
      <w:r>
        <w:rPr>
          <w:rFonts w:ascii="Calibri" w:hAnsi="Calibri"/>
        </w:rPr>
        <w:t xml:space="preserve"> communes, Marly-sous-Issy, Issy-l’Evêque et Cuzy</w:t>
      </w:r>
      <w:r>
        <w:rPr>
          <w:rFonts w:ascii="Calibri" w:hAnsi="Calibri"/>
        </w:rPr>
        <w:t xml:space="preserve"> eurent donné leur feu vert pour une « étude sans engagement » selon les propos trompeurs du promoteur (en effet, les promesses de bail signées par les propriétaires sont engageantes pour une génération au moins).</w:t>
      </w:r>
    </w:p>
    <w:p w14:paraId="3614571E" w14:textId="1377B7A4" w:rsidR="004C6AD3" w:rsidRDefault="00000000">
      <w:pPr>
        <w:pStyle w:val="Standard"/>
        <w:jc w:val="both"/>
        <w:rPr>
          <w:rFonts w:ascii="Calibri" w:hAnsi="Calibri"/>
        </w:rPr>
      </w:pPr>
      <w:r>
        <w:rPr>
          <w:rFonts w:ascii="Calibri" w:hAnsi="Calibri"/>
        </w:rPr>
        <w:t xml:space="preserve">En 2016, </w:t>
      </w:r>
      <w:r w:rsidR="00E12CF2">
        <w:rPr>
          <w:rFonts w:ascii="Calibri" w:hAnsi="Calibri"/>
        </w:rPr>
        <w:t xml:space="preserve">Voltalia présente au public un projet de </w:t>
      </w:r>
      <w:r>
        <w:rPr>
          <w:rFonts w:ascii="Calibri" w:hAnsi="Calibri"/>
        </w:rPr>
        <w:t>16 éoliennes géantes de 180m de hauteur.</w:t>
      </w:r>
    </w:p>
    <w:p w14:paraId="455EF2B1" w14:textId="77777777" w:rsidR="004C6AD3" w:rsidRDefault="00000000">
      <w:pPr>
        <w:pStyle w:val="Standard"/>
        <w:jc w:val="both"/>
        <w:rPr>
          <w:rFonts w:ascii="Calibri" w:hAnsi="Calibri"/>
        </w:rPr>
      </w:pPr>
      <w:r>
        <w:rPr>
          <w:rFonts w:ascii="Calibri" w:hAnsi="Calibri"/>
        </w:rPr>
        <w:t>Rappelons que Voltalia est une multinationale appartenant au groupe Mulliez, propriétaire également des magasins Auchan.</w:t>
      </w:r>
    </w:p>
    <w:p w14:paraId="66914425" w14:textId="1852EC6B" w:rsidR="004C6AD3" w:rsidRDefault="00000000">
      <w:pPr>
        <w:pStyle w:val="Standard"/>
        <w:jc w:val="both"/>
        <w:rPr>
          <w:rFonts w:ascii="Calibri" w:hAnsi="Calibri"/>
        </w:rPr>
      </w:pPr>
      <w:r>
        <w:rPr>
          <w:rFonts w:ascii="Calibri" w:hAnsi="Calibri"/>
        </w:rPr>
        <w:lastRenderedPageBreak/>
        <w:t xml:space="preserve">Sauvegarde Sud-Morvan (SSM) est intervenue dès </w:t>
      </w:r>
      <w:r w:rsidR="00E12CF2">
        <w:rPr>
          <w:rFonts w:ascii="Calibri" w:hAnsi="Calibri"/>
        </w:rPr>
        <w:t>2016</w:t>
      </w:r>
      <w:r>
        <w:rPr>
          <w:rFonts w:ascii="Calibri" w:hAnsi="Calibri"/>
        </w:rPr>
        <w:t xml:space="preserve"> pour alerter les citoyens et le Préfet sur les nombreuses illégalités du projet ; accompagnée par Nature et Paysages en Sud-Morvan (NPSM), SSM a décidé de mener plusieurs actions en justice.</w:t>
      </w:r>
    </w:p>
    <w:p w14:paraId="78DC7B34" w14:textId="7B955AD8" w:rsidR="00AB7A2F" w:rsidRDefault="00000000">
      <w:pPr>
        <w:pStyle w:val="Standard"/>
        <w:jc w:val="both"/>
        <w:rPr>
          <w:rFonts w:ascii="Calibri" w:hAnsi="Calibri"/>
        </w:rPr>
      </w:pPr>
      <w:r>
        <w:rPr>
          <w:rFonts w:ascii="Calibri" w:hAnsi="Calibri"/>
        </w:rPr>
        <w:t>Après trois ans de bagarre, Voltalia perd une première bataille et abandonne en 2019 les éoliennes situées sur les communes de Cuzy et d’Issy-l’Evêque (partie Est)</w:t>
      </w:r>
      <w:r w:rsidR="00AB7A2F">
        <w:rPr>
          <w:rFonts w:ascii="Calibri" w:hAnsi="Calibri"/>
        </w:rPr>
        <w:t xml:space="preserve">. </w:t>
      </w:r>
      <w:r>
        <w:rPr>
          <w:rFonts w:ascii="Calibri" w:hAnsi="Calibri"/>
        </w:rPr>
        <w:t xml:space="preserve"> </w:t>
      </w:r>
    </w:p>
    <w:p w14:paraId="161FC670" w14:textId="18BA5460" w:rsidR="00AB7A2F" w:rsidRDefault="00AB7A2F" w:rsidP="00D74439">
      <w:pPr>
        <w:pStyle w:val="Standard"/>
        <w:jc w:val="both"/>
        <w:rPr>
          <w:rFonts w:ascii="Calibri" w:hAnsi="Calibri"/>
        </w:rPr>
      </w:pPr>
      <w:r>
        <w:rPr>
          <w:rFonts w:ascii="Calibri" w:hAnsi="Calibri"/>
        </w:rPr>
        <w:t>Mais</w:t>
      </w:r>
      <w:r w:rsidR="00000000">
        <w:rPr>
          <w:rFonts w:ascii="Calibri" w:hAnsi="Calibri"/>
        </w:rPr>
        <w:t xml:space="preserve"> </w:t>
      </w:r>
      <w:r>
        <w:rPr>
          <w:rFonts w:ascii="Calibri" w:hAnsi="Calibri"/>
        </w:rPr>
        <w:t xml:space="preserve">Voltalia </w:t>
      </w:r>
      <w:r w:rsidR="00000000">
        <w:rPr>
          <w:rFonts w:ascii="Calibri" w:hAnsi="Calibri"/>
        </w:rPr>
        <w:t>persiste sur Marly avec le soutien aveugle du Maire.</w:t>
      </w:r>
      <w:r w:rsidR="00D74439">
        <w:rPr>
          <w:rFonts w:ascii="Calibri" w:hAnsi="Calibri"/>
        </w:rPr>
        <w:t xml:space="preserve">  </w:t>
      </w:r>
      <w:r>
        <w:rPr>
          <w:rFonts w:ascii="Calibri" w:hAnsi="Calibri"/>
          <w:noProof/>
        </w:rPr>
        <w:drawing>
          <wp:inline distT="0" distB="0" distL="0" distR="0" wp14:anchorId="13E7136B" wp14:editId="2BCAF8EC">
            <wp:extent cx="858483" cy="552450"/>
            <wp:effectExtent l="0" t="0" r="0" b="0"/>
            <wp:docPr id="2084262286" name="Image 7" descr="Une image contenant meubles, boomerang, en bois, intéri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262286" name="Image 7" descr="Une image contenant meubles, boomerang, en bois, intérieur&#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1866" cy="567498"/>
                    </a:xfrm>
                    <a:prstGeom prst="rect">
                      <a:avLst/>
                    </a:prstGeom>
                  </pic:spPr>
                </pic:pic>
              </a:graphicData>
            </a:graphic>
          </wp:inline>
        </w:drawing>
      </w:r>
    </w:p>
    <w:p w14:paraId="307F3FE3" w14:textId="47C61BA8" w:rsidR="004C6AD3" w:rsidRDefault="00000000">
      <w:pPr>
        <w:pStyle w:val="Standard"/>
      </w:pPr>
      <w:r>
        <w:rPr>
          <w:rFonts w:ascii="Calibri" w:hAnsi="Calibri"/>
        </w:rPr>
        <w:t xml:space="preserve">Pour plus de détails, le lecteur pourra se référer au site internet </w:t>
      </w:r>
      <w:hyperlink r:id="rId10" w:history="1">
        <w:r>
          <w:rPr>
            <w:rStyle w:val="Internetlink"/>
            <w:rFonts w:ascii="Calibri" w:hAnsi="Calibri"/>
          </w:rPr>
          <w:t>www.sauvegardesudmorvan.org</w:t>
        </w:r>
      </w:hyperlink>
      <w:r>
        <w:rPr>
          <w:rFonts w:ascii="Calibri" w:hAnsi="Calibri"/>
        </w:rPr>
        <w:t xml:space="preserve"> rubrique « Projet Marly-Issy (abandonné) ».</w:t>
      </w:r>
    </w:p>
    <w:p w14:paraId="1CC2BE29" w14:textId="77777777" w:rsidR="004C6AD3" w:rsidRDefault="00000000">
      <w:pPr>
        <w:pStyle w:val="Titre2"/>
      </w:pPr>
      <w:r>
        <w:rPr>
          <w:rFonts w:ascii="Calibri" w:hAnsi="Calibri"/>
          <w:b/>
          <w:bCs/>
          <w:color w:val="00B050"/>
          <w:sz w:val="24"/>
          <w:szCs w:val="24"/>
        </w:rPr>
        <w:t>En 2019, Voltalia élabore un nouveau projet de 7 éoliennes (hauteur 200m)</w:t>
      </w:r>
    </w:p>
    <w:p w14:paraId="7605E470" w14:textId="77777777" w:rsidR="004C6AD3" w:rsidRDefault="00000000">
      <w:pPr>
        <w:pStyle w:val="Titre2"/>
      </w:pPr>
      <w:r>
        <w:rPr>
          <w:rFonts w:ascii="Calibri" w:hAnsi="Calibri"/>
          <w:color w:val="00B050"/>
          <w:sz w:val="24"/>
          <w:szCs w:val="24"/>
        </w:rPr>
        <w:t>SSM commence par dénoncer la convention d’utilisation des chemins ruraux</w:t>
      </w:r>
    </w:p>
    <w:p w14:paraId="5B1989B5" w14:textId="77777777" w:rsidR="004C6AD3" w:rsidRDefault="00000000">
      <w:pPr>
        <w:pStyle w:val="Standard"/>
        <w:jc w:val="both"/>
        <w:rPr>
          <w:rFonts w:ascii="Calibri" w:hAnsi="Calibri"/>
        </w:rPr>
      </w:pPr>
      <w:r>
        <w:rPr>
          <w:rFonts w:ascii="Calibri" w:hAnsi="Calibri"/>
        </w:rPr>
        <w:t>Le 5/11/19, Voltalia présente au Conseil municipal de Marly un nouveau projet de 7 éoliennes géantes de 200m de hauteur, et fait approuver une convention d’utilisation des chemins ruraux par le promoteur, convention qui engage la commune de Marly sur de nombreuses années.</w:t>
      </w:r>
    </w:p>
    <w:p w14:paraId="7DC4C9AE" w14:textId="77777777" w:rsidR="004C6AD3" w:rsidRDefault="00000000">
      <w:pPr>
        <w:pStyle w:val="Standard"/>
        <w:jc w:val="both"/>
        <w:rPr>
          <w:rFonts w:ascii="Calibri" w:hAnsi="Calibri"/>
        </w:rPr>
      </w:pPr>
      <w:r>
        <w:rPr>
          <w:rFonts w:ascii="Calibri" w:hAnsi="Calibri"/>
        </w:rPr>
        <w:t>SSM dénonce au Tribunal des illégalités dans la convention. La procédure dure trois ans. La convention est modifiée deux fois, ce qui démontre les irrégularités des premières versions.</w:t>
      </w:r>
    </w:p>
    <w:p w14:paraId="017A0BC1" w14:textId="77777777" w:rsidR="004C6AD3" w:rsidRDefault="00000000">
      <w:pPr>
        <w:pStyle w:val="Standard"/>
        <w:jc w:val="both"/>
        <w:rPr>
          <w:rFonts w:ascii="Calibri" w:hAnsi="Calibri"/>
        </w:rPr>
      </w:pPr>
      <w:r>
        <w:rPr>
          <w:rFonts w:ascii="Calibri" w:hAnsi="Calibri"/>
        </w:rPr>
        <w:t>La troisième version est finalement jugée acceptable par la Cour Administrative d’Appel de Lyon le 24/11/22.</w:t>
      </w:r>
    </w:p>
    <w:p w14:paraId="4221A230" w14:textId="77777777" w:rsidR="004C6AD3" w:rsidRDefault="00000000">
      <w:pPr>
        <w:pStyle w:val="Titre2"/>
      </w:pPr>
      <w:r>
        <w:rPr>
          <w:rFonts w:ascii="Calibri" w:hAnsi="Calibri"/>
          <w:color w:val="00B050"/>
          <w:sz w:val="24"/>
          <w:szCs w:val="24"/>
        </w:rPr>
        <w:t>En parallèle Voltalia constitue un Dossier de Demande d’Autorisation</w:t>
      </w:r>
    </w:p>
    <w:p w14:paraId="1F57D253" w14:textId="77777777" w:rsidR="004C6AD3" w:rsidRDefault="00000000">
      <w:pPr>
        <w:pStyle w:val="Standard"/>
        <w:jc w:val="both"/>
        <w:rPr>
          <w:rFonts w:ascii="Calibri" w:hAnsi="Calibri"/>
        </w:rPr>
      </w:pPr>
      <w:r>
        <w:rPr>
          <w:rFonts w:ascii="Calibri" w:hAnsi="Calibri"/>
        </w:rPr>
        <w:t>Le 13/3/20, à la veille du premier confinement Covid, Voltalia envoie au Préfet son volumineux Dossier de Demande d’Autorisation Environnementale (DDAE).</w:t>
      </w:r>
    </w:p>
    <w:p w14:paraId="072C72A7" w14:textId="77777777" w:rsidR="004C6AD3" w:rsidRDefault="00000000">
      <w:pPr>
        <w:pStyle w:val="Standard"/>
        <w:jc w:val="both"/>
        <w:rPr>
          <w:rFonts w:ascii="Calibri" w:hAnsi="Calibri"/>
        </w:rPr>
      </w:pPr>
      <w:r>
        <w:rPr>
          <w:rFonts w:ascii="Calibri" w:hAnsi="Calibri"/>
        </w:rPr>
        <w:t>En trois mois, les équipes de Sauvegarde Sud-Morvan (SSM) et Nature et Paysage en Sud-Morvan (NPSM) accompagnées de leurs experts, épluchent le dossier d’environ 1500 pages.</w:t>
      </w:r>
    </w:p>
    <w:p w14:paraId="4F37227F" w14:textId="77777777" w:rsidR="004C6AD3" w:rsidRDefault="00000000">
      <w:pPr>
        <w:pStyle w:val="Standard"/>
        <w:jc w:val="both"/>
        <w:rPr>
          <w:rFonts w:ascii="Calibri" w:hAnsi="Calibri"/>
        </w:rPr>
      </w:pPr>
      <w:r>
        <w:rPr>
          <w:rFonts w:ascii="Calibri" w:hAnsi="Calibri"/>
        </w:rPr>
        <w:t>En juin et juillet 2020, elles envoient deux importants courriers au Préfet et à la DREAL pour dénoncer les nombreuses insuffisances, erreurs et imprécisions du DDAE de Voltalia ; elles pointent du doigt le non-respect du Code de l’environnement et l’impact du projet sur des sites ou monuments classés (voir détails ci-après). Le Préfet a théoriquement quatre mois pour répondre au promoteur, mais le confinement rallonge les délais.</w:t>
      </w:r>
    </w:p>
    <w:p w14:paraId="113333F6" w14:textId="520D8B8F" w:rsidR="004C6AD3" w:rsidRDefault="00AB7A2F">
      <w:pPr>
        <w:pStyle w:val="Standard"/>
        <w:jc w:val="both"/>
        <w:rPr>
          <w:rFonts w:ascii="Calibri" w:hAnsi="Calibri"/>
        </w:rPr>
      </w:pPr>
      <w:r>
        <w:rPr>
          <w:rFonts w:ascii="Calibri" w:hAnsi="Calibri"/>
          <w:noProof/>
        </w:rPr>
        <w:drawing>
          <wp:inline distT="0" distB="0" distL="0" distR="0" wp14:anchorId="53F353F2" wp14:editId="53D29E3E">
            <wp:extent cx="800100" cy="438043"/>
            <wp:effectExtent l="0" t="0" r="0" b="635"/>
            <wp:docPr id="304942708" name="Image 5"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2708" name="Image 5" descr="Une image contenant texte, Police, logo, symbol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827953" cy="453292"/>
                    </a:xfrm>
                    <a:prstGeom prst="rect">
                      <a:avLst/>
                    </a:prstGeom>
                  </pic:spPr>
                </pic:pic>
              </a:graphicData>
            </a:graphic>
          </wp:inline>
        </w:drawing>
      </w:r>
      <w:r w:rsidR="00000000">
        <w:rPr>
          <w:rFonts w:ascii="Calibri" w:hAnsi="Calibri"/>
        </w:rPr>
        <w:t>Le 23/10/20, le dossier est déclaré irrégulier par le Préfet ; certains arguments des associations sont repris. Le Préfet donne douze mois à Voltalia pour compléter son dossier.</w:t>
      </w:r>
    </w:p>
    <w:p w14:paraId="745D2554" w14:textId="77777777" w:rsidR="004C6AD3" w:rsidRDefault="00000000">
      <w:pPr>
        <w:pStyle w:val="Standard"/>
        <w:jc w:val="both"/>
        <w:rPr>
          <w:rFonts w:ascii="Calibri" w:hAnsi="Calibri"/>
        </w:rPr>
      </w:pPr>
      <w:r>
        <w:rPr>
          <w:rFonts w:ascii="Calibri" w:hAnsi="Calibri"/>
        </w:rPr>
        <w:t>Le 7/9/21, soit un an plus tard, SSM et NPSM organisent une rencontre de Voltalia à Marly. Elles demandent à Voltalia un débat contradictoire en public. Après quelque temps d’hésitation, Voltalia refuse.</w:t>
      </w:r>
    </w:p>
    <w:p w14:paraId="346DF3DD" w14:textId="77777777" w:rsidR="004C6AD3" w:rsidRDefault="00000000">
      <w:pPr>
        <w:pStyle w:val="Standard"/>
        <w:jc w:val="both"/>
      </w:pPr>
      <w:r>
        <w:rPr>
          <w:rFonts w:ascii="Calibri" w:hAnsi="Calibri"/>
          <w:b/>
          <w:bCs/>
        </w:rPr>
        <w:t>Ce refus d’un débat public n’est-il pas la preuve de la force des arguments de SSM et NPSM ?</w:t>
      </w:r>
    </w:p>
    <w:p w14:paraId="793131EF" w14:textId="77777777" w:rsidR="004C6AD3" w:rsidRDefault="00000000">
      <w:pPr>
        <w:pStyle w:val="Standard"/>
        <w:jc w:val="both"/>
        <w:rPr>
          <w:rFonts w:ascii="Calibri" w:hAnsi="Calibri"/>
        </w:rPr>
      </w:pPr>
      <w:r>
        <w:rPr>
          <w:rFonts w:ascii="Calibri" w:hAnsi="Calibri"/>
        </w:rPr>
        <w:t>Le 26/10/21 (avec trois jours de retard sur le délai octroyé par le Préfet), Voltalia renvoie au Préfet un nouveau dossier.</w:t>
      </w:r>
    </w:p>
    <w:p w14:paraId="6F55970E" w14:textId="77777777" w:rsidR="004C6AD3" w:rsidRDefault="00000000">
      <w:pPr>
        <w:pStyle w:val="Standard"/>
        <w:jc w:val="both"/>
      </w:pPr>
      <w:r>
        <w:rPr>
          <w:rFonts w:ascii="Calibri" w:hAnsi="Calibri"/>
          <w:b/>
          <w:bCs/>
        </w:rPr>
        <w:t>Nouvelle victoire des associations : sur les sept éoliennes initiales, Voltalia n’en propose plus que quatre.</w:t>
      </w:r>
    </w:p>
    <w:p w14:paraId="4190F064" w14:textId="77777777" w:rsidR="004C6AD3" w:rsidRDefault="00000000">
      <w:pPr>
        <w:pStyle w:val="Standard"/>
        <w:jc w:val="both"/>
        <w:rPr>
          <w:rFonts w:ascii="Calibri" w:hAnsi="Calibri"/>
        </w:rPr>
      </w:pPr>
      <w:r>
        <w:rPr>
          <w:rFonts w:ascii="Calibri" w:hAnsi="Calibri"/>
        </w:rPr>
        <w:t>Le 30/12/21, SSM et NPSM écrivent à nouveau au Préfet pour dénoncer les nombreuses insuffisances qui perdurent dans le nouveau dossier et pour démontrer que Voltalia n’a pas effectué le travail d’études nécessaire.</w:t>
      </w:r>
    </w:p>
    <w:p w14:paraId="7063135A" w14:textId="77777777" w:rsidR="004C6AD3" w:rsidRDefault="00000000">
      <w:pPr>
        <w:pStyle w:val="Titre2"/>
      </w:pPr>
      <w:r>
        <w:rPr>
          <w:rFonts w:ascii="Calibri" w:hAnsi="Calibri"/>
          <w:color w:val="00B050"/>
          <w:sz w:val="24"/>
          <w:szCs w:val="24"/>
        </w:rPr>
        <w:lastRenderedPageBreak/>
        <w:t>Rejet du dossier par le Préfet et appel de Voltalia</w:t>
      </w:r>
    </w:p>
    <w:p w14:paraId="23EA5A89" w14:textId="77777777" w:rsidR="004C6AD3" w:rsidRDefault="00000000">
      <w:pPr>
        <w:pStyle w:val="Standard"/>
        <w:rPr>
          <w:rFonts w:ascii="Calibri" w:hAnsi="Calibri"/>
        </w:rPr>
      </w:pPr>
      <w:r>
        <w:rPr>
          <w:rFonts w:ascii="Calibri" w:hAnsi="Calibri"/>
        </w:rPr>
        <w:t>Le 2/5/22, le Préfet prend un arrêté de rejet du DDAE de Voltalia. L’enquête publique n’aura pas lieu.</w:t>
      </w:r>
    </w:p>
    <w:p w14:paraId="709FF08A" w14:textId="2425DF47" w:rsidR="004C6AD3" w:rsidRPr="00AB7A2F" w:rsidRDefault="00AB7A2F">
      <w:pPr>
        <w:pStyle w:val="Standard"/>
        <w:rPr>
          <w:rFonts w:ascii="Calibri" w:hAnsi="Calibri"/>
        </w:rPr>
      </w:pPr>
      <w:r>
        <w:rPr>
          <w:rFonts w:ascii="Calibri" w:hAnsi="Calibri"/>
          <w:noProof/>
        </w:rPr>
        <w:drawing>
          <wp:inline distT="0" distB="0" distL="0" distR="0" wp14:anchorId="089499CB" wp14:editId="47DCA5FC">
            <wp:extent cx="800100" cy="438043"/>
            <wp:effectExtent l="0" t="0" r="0" b="635"/>
            <wp:docPr id="651775622" name="Image 5"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2708" name="Image 5" descr="Une image contenant texte, Police, logo, symbol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827953" cy="453292"/>
                    </a:xfrm>
                    <a:prstGeom prst="rect">
                      <a:avLst/>
                    </a:prstGeom>
                  </pic:spPr>
                </pic:pic>
              </a:graphicData>
            </a:graphic>
          </wp:inline>
        </w:drawing>
      </w:r>
      <w:r w:rsidR="00000000">
        <w:rPr>
          <w:rFonts w:ascii="Calibri" w:hAnsi="Calibri"/>
          <w:b/>
          <w:bCs/>
        </w:rPr>
        <w:t>Voltalia proteste auprès du Préfet et fait appel de la décision.</w:t>
      </w:r>
    </w:p>
    <w:p w14:paraId="42DBD5DE" w14:textId="77777777" w:rsidR="004C6AD3" w:rsidRDefault="00000000">
      <w:pPr>
        <w:pStyle w:val="Standard"/>
        <w:jc w:val="both"/>
        <w:rPr>
          <w:rFonts w:ascii="Calibri" w:hAnsi="Calibri"/>
        </w:rPr>
      </w:pPr>
      <w:r>
        <w:rPr>
          <w:rFonts w:ascii="Calibri" w:hAnsi="Calibri"/>
        </w:rPr>
        <w:t>Les associations SSM et NPSM décident alors d’intervenir « en soutien » du Préfet, afin de s’assurer que leurs arguments seront bien pris en compte.</w:t>
      </w:r>
    </w:p>
    <w:p w14:paraId="06A889AE" w14:textId="77777777" w:rsidR="004C6AD3" w:rsidRDefault="00000000">
      <w:pPr>
        <w:pStyle w:val="Standard"/>
        <w:jc w:val="both"/>
        <w:rPr>
          <w:rFonts w:ascii="Calibri" w:hAnsi="Calibri"/>
        </w:rPr>
      </w:pPr>
      <w:r>
        <w:rPr>
          <w:rFonts w:ascii="Calibri" w:hAnsi="Calibri"/>
        </w:rPr>
        <w:t>Le 6/6/24, une audience a lieu à la Cour Administrative d’Appel de Lyon (CAA) ; seuls les avocats de Voltalia et des associations sont présents ; le Préfet n’est pas représenté.</w:t>
      </w:r>
    </w:p>
    <w:p w14:paraId="0AB69E7F" w14:textId="77777777" w:rsidR="004C6AD3" w:rsidRDefault="00000000">
      <w:pPr>
        <w:pStyle w:val="Titre2"/>
      </w:pPr>
      <w:r>
        <w:rPr>
          <w:rFonts w:ascii="Calibri" w:hAnsi="Calibri"/>
          <w:color w:val="00B050"/>
          <w:sz w:val="24"/>
          <w:szCs w:val="24"/>
        </w:rPr>
        <w:t>Échec et abandon de Voltalia</w:t>
      </w:r>
    </w:p>
    <w:p w14:paraId="3BC24E78" w14:textId="559791B4" w:rsidR="00AB7A2F" w:rsidRDefault="00AB7A2F">
      <w:pPr>
        <w:pStyle w:val="Standard"/>
        <w:jc w:val="both"/>
        <w:rPr>
          <w:rFonts w:ascii="Calibri" w:hAnsi="Calibri"/>
        </w:rPr>
      </w:pPr>
      <w:r>
        <w:rPr>
          <w:rFonts w:ascii="Calibri" w:hAnsi="Calibri"/>
          <w:noProof/>
        </w:rPr>
        <w:drawing>
          <wp:inline distT="0" distB="0" distL="0" distR="0" wp14:anchorId="0E59372F" wp14:editId="0319D747">
            <wp:extent cx="1124286" cy="752475"/>
            <wp:effectExtent l="0" t="0" r="0" b="0"/>
            <wp:docPr id="1058012110" name="Image 6" descr="Une image contenant texte, Moulures, architecture, faça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12110" name="Image 6" descr="Une image contenant texte, Moulures, architecture, façad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1141166" cy="763773"/>
                    </a:xfrm>
                    <a:prstGeom prst="rect">
                      <a:avLst/>
                    </a:prstGeom>
                  </pic:spPr>
                </pic:pic>
              </a:graphicData>
            </a:graphic>
          </wp:inline>
        </w:drawing>
      </w:r>
      <w:r>
        <w:rPr>
          <w:rFonts w:ascii="Calibri" w:hAnsi="Calibri"/>
        </w:rPr>
        <w:tab/>
      </w:r>
      <w:r w:rsidR="00000000">
        <w:rPr>
          <w:rFonts w:ascii="Calibri" w:hAnsi="Calibri"/>
        </w:rPr>
        <w:t xml:space="preserve">Le 20/6/24, le jugement de la CAA confirme le rejet du dossier par le Préfet. </w:t>
      </w:r>
    </w:p>
    <w:p w14:paraId="1AEB3027" w14:textId="28492CEF" w:rsidR="004C6AD3" w:rsidRDefault="00AB7A2F">
      <w:pPr>
        <w:pStyle w:val="Standard"/>
        <w:jc w:val="both"/>
      </w:pPr>
      <w:r>
        <w:rPr>
          <w:rFonts w:ascii="Calibri" w:hAnsi="Calibri"/>
          <w:noProof/>
        </w:rPr>
        <w:drawing>
          <wp:inline distT="0" distB="0" distL="0" distR="0" wp14:anchorId="1A4D906A" wp14:editId="2CA9DFD7">
            <wp:extent cx="800100" cy="438043"/>
            <wp:effectExtent l="0" t="0" r="0" b="635"/>
            <wp:docPr id="1836430614" name="Image 5"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42708" name="Image 5" descr="Une image contenant texte, Police, logo, symbol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827953" cy="453292"/>
                    </a:xfrm>
                    <a:prstGeom prst="rect">
                      <a:avLst/>
                    </a:prstGeom>
                  </pic:spPr>
                </pic:pic>
              </a:graphicData>
            </a:graphic>
          </wp:inline>
        </w:drawing>
      </w:r>
      <w:r w:rsidR="00000000">
        <w:rPr>
          <w:rFonts w:ascii="Calibri" w:hAnsi="Calibri"/>
          <w:b/>
          <w:bCs/>
        </w:rPr>
        <w:t>Nouvelle victoire pour les associations !</w:t>
      </w:r>
    </w:p>
    <w:p w14:paraId="4BA2FC9E" w14:textId="77777777" w:rsidR="004C6AD3" w:rsidRDefault="00000000">
      <w:pPr>
        <w:pStyle w:val="Standard"/>
        <w:rPr>
          <w:rFonts w:ascii="Calibri" w:hAnsi="Calibri"/>
        </w:rPr>
      </w:pPr>
      <w:r>
        <w:rPr>
          <w:rFonts w:ascii="Calibri" w:hAnsi="Calibri"/>
        </w:rPr>
        <w:t>Voltalia avait deux mois pour déposer un pourvoi en cassation, en l’occurrence au Conseil d’État.</w:t>
      </w:r>
    </w:p>
    <w:p w14:paraId="46C218EF" w14:textId="77777777" w:rsidR="004C6AD3" w:rsidRDefault="00000000">
      <w:pPr>
        <w:pStyle w:val="Standard"/>
      </w:pPr>
      <w:r>
        <w:rPr>
          <w:rFonts w:ascii="Calibri" w:hAnsi="Calibri"/>
          <w:b/>
          <w:bCs/>
        </w:rPr>
        <w:t>Rien n’a été déposé ; le projet éolien de Voltalia est donc définitivement rejeté :</w:t>
      </w:r>
    </w:p>
    <w:p w14:paraId="1F435301" w14:textId="77777777" w:rsidR="004C6AD3" w:rsidRDefault="00000000">
      <w:pPr>
        <w:pStyle w:val="Standard"/>
      </w:pPr>
      <w:r>
        <w:rPr>
          <w:rFonts w:ascii="Calibri" w:hAnsi="Calibri"/>
          <w:b/>
          <w:bCs/>
          <w:color w:val="00B050"/>
          <w:sz w:val="24"/>
          <w:szCs w:val="24"/>
        </w:rPr>
        <w:t>LES ASSOCIATIONS ONT GAGNE !</w:t>
      </w:r>
    </w:p>
    <w:p w14:paraId="74D42075" w14:textId="77777777" w:rsidR="004C6AD3" w:rsidRDefault="00000000">
      <w:pPr>
        <w:pStyle w:val="Titre1"/>
      </w:pPr>
      <w:r>
        <w:rPr>
          <w:rFonts w:ascii="Calibri" w:hAnsi="Calibri"/>
          <w:b/>
          <w:bCs/>
          <w:color w:val="C00000"/>
          <w:sz w:val="28"/>
          <w:szCs w:val="28"/>
        </w:rPr>
        <w:t>La décision de la CAA de Lyon fera jurisprudence</w:t>
      </w:r>
    </w:p>
    <w:p w14:paraId="08EE1335" w14:textId="77777777" w:rsidR="004C6AD3" w:rsidRDefault="00000000">
      <w:pPr>
        <w:pStyle w:val="Standard"/>
        <w:rPr>
          <w:rFonts w:ascii="Calibri" w:hAnsi="Calibri"/>
        </w:rPr>
      </w:pPr>
      <w:r>
        <w:rPr>
          <w:rFonts w:ascii="Calibri" w:hAnsi="Calibri"/>
        </w:rPr>
        <w:t>La décision du Préfet, confirmée par la Cour Administrative d’Appel de Lyon est importante, car le rejet porte essentiellement sur quatre éléments</w:t>
      </w:r>
    </w:p>
    <w:p w14:paraId="30637E8B" w14:textId="77777777" w:rsidR="004C6AD3" w:rsidRDefault="00000000">
      <w:pPr>
        <w:pStyle w:val="Standard"/>
        <w:numPr>
          <w:ilvl w:val="0"/>
          <w:numId w:val="3"/>
        </w:numPr>
        <w:spacing w:after="57"/>
        <w:rPr>
          <w:rFonts w:ascii="Calibri" w:hAnsi="Calibri"/>
        </w:rPr>
      </w:pPr>
      <w:r>
        <w:rPr>
          <w:rFonts w:ascii="Calibri" w:hAnsi="Calibri"/>
        </w:rPr>
        <w:t>Protection paysagère de Bibracte, classé « Grand site de France »</w:t>
      </w:r>
    </w:p>
    <w:p w14:paraId="73FA6D5D" w14:textId="77777777" w:rsidR="004C6AD3" w:rsidRDefault="00000000">
      <w:pPr>
        <w:pStyle w:val="Standard"/>
        <w:numPr>
          <w:ilvl w:val="0"/>
          <w:numId w:val="2"/>
        </w:numPr>
        <w:spacing w:after="57"/>
        <w:rPr>
          <w:rFonts w:ascii="Calibri" w:hAnsi="Calibri"/>
        </w:rPr>
      </w:pPr>
      <w:r>
        <w:rPr>
          <w:rFonts w:ascii="Calibri" w:hAnsi="Calibri"/>
        </w:rPr>
        <w:t>Protection paysagère de l’église d’Issy-l’Evêque (monument historique classé)</w:t>
      </w:r>
    </w:p>
    <w:p w14:paraId="694284F0" w14:textId="77777777" w:rsidR="004C6AD3" w:rsidRDefault="00000000">
      <w:pPr>
        <w:pStyle w:val="Standard"/>
        <w:numPr>
          <w:ilvl w:val="0"/>
          <w:numId w:val="2"/>
        </w:numPr>
        <w:spacing w:after="57"/>
        <w:rPr>
          <w:rFonts w:ascii="Calibri" w:hAnsi="Calibri"/>
        </w:rPr>
      </w:pPr>
      <w:r>
        <w:rPr>
          <w:rFonts w:ascii="Calibri" w:hAnsi="Calibri"/>
        </w:rPr>
        <w:t>Insuffisance des inventaires pour la nidification des rapaces.</w:t>
      </w:r>
    </w:p>
    <w:p w14:paraId="37F2EAA4" w14:textId="77777777" w:rsidR="004C6AD3" w:rsidRDefault="00000000">
      <w:pPr>
        <w:pStyle w:val="Standard"/>
        <w:ind w:left="720"/>
        <w:jc w:val="both"/>
        <w:rPr>
          <w:rFonts w:ascii="Calibri" w:hAnsi="Calibri"/>
        </w:rPr>
      </w:pPr>
      <w:r>
        <w:rPr>
          <w:rFonts w:ascii="Calibri" w:hAnsi="Calibri"/>
        </w:rPr>
        <w:t>Un complément d’inventaires avait été demandé par le Préfet, qui s’appuyait notamment sur un document de juin 2021 émanant de la LPO (Ligue de Protection des oiseaux) intitulé « Outils d’aide à l’identification des enjeux – Volet reproduction et hivernage »</w:t>
      </w:r>
    </w:p>
    <w:p w14:paraId="7D206E4A" w14:textId="77777777" w:rsidR="004C6AD3" w:rsidRDefault="00000000">
      <w:pPr>
        <w:pStyle w:val="Standard"/>
        <w:numPr>
          <w:ilvl w:val="0"/>
          <w:numId w:val="2"/>
        </w:numPr>
        <w:spacing w:after="57"/>
        <w:rPr>
          <w:rFonts w:ascii="Calibri" w:hAnsi="Calibri"/>
        </w:rPr>
      </w:pPr>
      <w:r>
        <w:rPr>
          <w:rFonts w:ascii="Calibri" w:hAnsi="Calibri"/>
        </w:rPr>
        <w:t>Insuffisance des écoutes chiroptères</w:t>
      </w:r>
    </w:p>
    <w:p w14:paraId="60340F7B" w14:textId="77777777" w:rsidR="004C6AD3" w:rsidRDefault="00000000">
      <w:pPr>
        <w:pStyle w:val="Standard"/>
        <w:spacing w:after="57"/>
        <w:ind w:left="720"/>
        <w:rPr>
          <w:rFonts w:ascii="Calibri" w:hAnsi="Calibri"/>
        </w:rPr>
      </w:pPr>
      <w:r>
        <w:rPr>
          <w:rFonts w:ascii="Calibri" w:hAnsi="Calibri"/>
        </w:rPr>
        <w:t>Le Préfet avait demandé des écoutes en altitude (au niveau du moyeu des éoliennes) sur un cycle biologique complet, estimant que les écoutes avec ballon captif étaient insuffisantes, demande qui a été confirmée par la CAA.</w:t>
      </w:r>
    </w:p>
    <w:p w14:paraId="4842D29A" w14:textId="77777777" w:rsidR="004C6AD3" w:rsidRDefault="00000000">
      <w:pPr>
        <w:pStyle w:val="Standard"/>
        <w:jc w:val="both"/>
        <w:rPr>
          <w:rFonts w:ascii="Calibri" w:hAnsi="Calibri"/>
        </w:rPr>
      </w:pPr>
      <w:r>
        <w:rPr>
          <w:rFonts w:ascii="Calibri" w:hAnsi="Calibri"/>
        </w:rPr>
        <w:t>A noter que le Préfet avait fait valoir aussi l’insuffisance de l’évaluation de la demande de dérogation espèces protégées, parce qu’elle n’a été réalisée que pour les espèces considérées comme « patrimoniales » par le promoteur et pas sur les autres espèces protégées. Ce point n’a pas été repris par la CAA de Lyon.</w:t>
      </w:r>
    </w:p>
    <w:p w14:paraId="46962D85" w14:textId="77777777" w:rsidR="004C6AD3" w:rsidRDefault="00000000">
      <w:pPr>
        <w:pStyle w:val="Titre1"/>
      </w:pPr>
      <w:r>
        <w:rPr>
          <w:rFonts w:ascii="Calibri" w:hAnsi="Calibri"/>
          <w:b/>
          <w:bCs/>
          <w:color w:val="C00000"/>
          <w:sz w:val="28"/>
          <w:szCs w:val="28"/>
        </w:rPr>
        <w:lastRenderedPageBreak/>
        <w:t>Quelles leçons à tirer ?</w:t>
      </w:r>
    </w:p>
    <w:p w14:paraId="0A5D1D6A" w14:textId="77777777" w:rsidR="004C6AD3" w:rsidRDefault="00000000">
      <w:pPr>
        <w:pStyle w:val="Titre2"/>
        <w:rPr>
          <w:rFonts w:ascii="Calibri" w:hAnsi="Calibri"/>
          <w:sz w:val="28"/>
          <w:szCs w:val="28"/>
        </w:rPr>
      </w:pPr>
      <w:r>
        <w:rPr>
          <w:rFonts w:ascii="Calibri" w:hAnsi="Calibri"/>
          <w:sz w:val="28"/>
          <w:szCs w:val="28"/>
        </w:rPr>
        <w:t>Pour les associations</w:t>
      </w:r>
    </w:p>
    <w:p w14:paraId="313E13AC" w14:textId="77777777" w:rsidR="004C6AD3" w:rsidRDefault="00000000">
      <w:pPr>
        <w:pStyle w:val="Paragraphedeliste"/>
        <w:numPr>
          <w:ilvl w:val="0"/>
          <w:numId w:val="2"/>
        </w:numPr>
        <w:spacing w:after="57"/>
        <w:jc w:val="both"/>
        <w:rPr>
          <w:rFonts w:ascii="Calibri" w:hAnsi="Calibri"/>
        </w:rPr>
      </w:pPr>
      <w:r>
        <w:rPr>
          <w:rFonts w:ascii="Calibri" w:hAnsi="Calibri"/>
        </w:rPr>
        <w:t>Obtenir le maximum d’information et dénoncer immédiatement les insuffisances et les illégalités auprès du Préfet et de la DREAL</w:t>
      </w:r>
    </w:p>
    <w:p w14:paraId="35856EBF" w14:textId="77777777" w:rsidR="004C6AD3" w:rsidRDefault="00000000">
      <w:pPr>
        <w:pStyle w:val="Paragraphedeliste"/>
        <w:numPr>
          <w:ilvl w:val="0"/>
          <w:numId w:val="2"/>
        </w:numPr>
        <w:spacing w:after="57"/>
        <w:jc w:val="both"/>
        <w:rPr>
          <w:rFonts w:ascii="Calibri" w:hAnsi="Calibri"/>
        </w:rPr>
      </w:pPr>
      <w:r>
        <w:rPr>
          <w:rFonts w:ascii="Calibri" w:hAnsi="Calibri"/>
        </w:rPr>
        <w:t>Être vigilant et persévérant : le montage d’un projet éolien contient de nombreuses étapes, dont chacune d’entre elles peut faire l’objet d’actions.</w:t>
      </w:r>
    </w:p>
    <w:p w14:paraId="5AF6773E" w14:textId="77777777" w:rsidR="004C6AD3" w:rsidRDefault="00000000">
      <w:pPr>
        <w:pStyle w:val="Paragraphedeliste"/>
        <w:numPr>
          <w:ilvl w:val="0"/>
          <w:numId w:val="2"/>
        </w:numPr>
        <w:spacing w:after="57"/>
        <w:rPr>
          <w:rFonts w:ascii="Calibri" w:hAnsi="Calibri"/>
        </w:rPr>
      </w:pPr>
      <w:r>
        <w:rPr>
          <w:rFonts w:ascii="Calibri" w:hAnsi="Calibri"/>
        </w:rPr>
        <w:t>Analyser en détail les DDAE.</w:t>
      </w:r>
    </w:p>
    <w:p w14:paraId="3C4967E8" w14:textId="77777777" w:rsidR="004C6AD3" w:rsidRDefault="00000000">
      <w:pPr>
        <w:pStyle w:val="Paragraphedeliste"/>
        <w:numPr>
          <w:ilvl w:val="0"/>
          <w:numId w:val="2"/>
        </w:numPr>
        <w:spacing w:after="57"/>
        <w:jc w:val="both"/>
        <w:rPr>
          <w:rFonts w:ascii="Calibri" w:hAnsi="Calibri"/>
        </w:rPr>
      </w:pPr>
      <w:r>
        <w:rPr>
          <w:rFonts w:ascii="Calibri" w:hAnsi="Calibri"/>
        </w:rPr>
        <w:t>S’entourer de bons experts, en particulier dans les domaines des paysages et de la biodiversité.</w:t>
      </w:r>
    </w:p>
    <w:p w14:paraId="6723F5B6" w14:textId="77777777" w:rsidR="004C6AD3" w:rsidRDefault="00000000">
      <w:pPr>
        <w:pStyle w:val="Paragraphedeliste"/>
        <w:numPr>
          <w:ilvl w:val="0"/>
          <w:numId w:val="2"/>
        </w:numPr>
        <w:spacing w:after="57"/>
        <w:rPr>
          <w:rFonts w:ascii="Calibri" w:hAnsi="Calibri"/>
        </w:rPr>
      </w:pPr>
      <w:r>
        <w:rPr>
          <w:rFonts w:ascii="Calibri" w:hAnsi="Calibri"/>
        </w:rPr>
        <w:t>Informer régulièrement les riverains et les citoyens de la région.</w:t>
      </w:r>
    </w:p>
    <w:p w14:paraId="69963D6D" w14:textId="77777777" w:rsidR="004C6AD3" w:rsidRDefault="00000000">
      <w:pPr>
        <w:pStyle w:val="Paragraphedeliste"/>
        <w:numPr>
          <w:ilvl w:val="0"/>
          <w:numId w:val="2"/>
        </w:numPr>
        <w:spacing w:after="57"/>
        <w:jc w:val="both"/>
        <w:rPr>
          <w:rFonts w:ascii="Calibri" w:hAnsi="Calibri"/>
        </w:rPr>
      </w:pPr>
      <w:r>
        <w:rPr>
          <w:rFonts w:ascii="Calibri" w:hAnsi="Calibri"/>
        </w:rPr>
        <w:t>De manière générale, avoir pour objectif principal de défendre le bien-être des citoyens, la nature et le tourisme vert, l’un des gros atouts du Morvan.</w:t>
      </w:r>
    </w:p>
    <w:p w14:paraId="43BF7788" w14:textId="77777777" w:rsidR="004C6AD3" w:rsidRDefault="00000000">
      <w:pPr>
        <w:pStyle w:val="Titre2"/>
        <w:spacing w:before="0"/>
        <w:rPr>
          <w:rFonts w:ascii="Calibri" w:hAnsi="Calibri"/>
          <w:sz w:val="28"/>
          <w:szCs w:val="28"/>
        </w:rPr>
      </w:pPr>
      <w:r>
        <w:rPr>
          <w:rFonts w:ascii="Calibri" w:hAnsi="Calibri"/>
          <w:sz w:val="28"/>
          <w:szCs w:val="28"/>
        </w:rPr>
        <w:t>Pour les promoteurs</w:t>
      </w:r>
    </w:p>
    <w:p w14:paraId="23597CB1" w14:textId="77777777" w:rsidR="004C6AD3" w:rsidRDefault="00000000">
      <w:pPr>
        <w:pStyle w:val="Paragraphedeliste"/>
        <w:numPr>
          <w:ilvl w:val="0"/>
          <w:numId w:val="2"/>
        </w:numPr>
        <w:spacing w:after="57"/>
        <w:jc w:val="both"/>
        <w:rPr>
          <w:rFonts w:ascii="Calibri" w:hAnsi="Calibri"/>
        </w:rPr>
      </w:pPr>
      <w:r>
        <w:rPr>
          <w:rFonts w:ascii="Calibri" w:hAnsi="Calibri"/>
        </w:rPr>
        <w:t>Ne pas monter des projets éoliens dans des zones riches en biodiversité, ce qui est le cas du Sud-Morvan et même, de manière plus générale, du Parc Naturel Régional du Morvan.</w:t>
      </w:r>
    </w:p>
    <w:p w14:paraId="3B115570" w14:textId="77777777" w:rsidR="004C6AD3" w:rsidRDefault="00000000">
      <w:pPr>
        <w:pStyle w:val="Paragraphedeliste"/>
        <w:numPr>
          <w:ilvl w:val="0"/>
          <w:numId w:val="2"/>
        </w:numPr>
        <w:spacing w:after="57"/>
        <w:jc w:val="both"/>
        <w:rPr>
          <w:rFonts w:ascii="Calibri" w:hAnsi="Calibri"/>
        </w:rPr>
      </w:pPr>
      <w:r>
        <w:rPr>
          <w:rFonts w:ascii="Calibri" w:hAnsi="Calibri"/>
        </w:rPr>
        <w:t>Ne pas monter des projets éoliens dans des régions dont le « tourisme vert » est l’un des gros atouts.</w:t>
      </w:r>
    </w:p>
    <w:p w14:paraId="230779F0" w14:textId="77777777" w:rsidR="004C6AD3" w:rsidRDefault="00000000">
      <w:pPr>
        <w:pStyle w:val="Paragraphedeliste"/>
        <w:numPr>
          <w:ilvl w:val="0"/>
          <w:numId w:val="2"/>
        </w:numPr>
        <w:spacing w:after="57"/>
        <w:rPr>
          <w:rFonts w:ascii="Calibri" w:hAnsi="Calibri"/>
        </w:rPr>
      </w:pPr>
      <w:r>
        <w:rPr>
          <w:rFonts w:ascii="Calibri" w:hAnsi="Calibri"/>
        </w:rPr>
        <w:t>Ne pas faire l’impasse sur les exigences du Code de l’Environnement.</w:t>
      </w:r>
    </w:p>
    <w:p w14:paraId="70DDB444" w14:textId="77777777" w:rsidR="004C6AD3" w:rsidRDefault="00000000">
      <w:pPr>
        <w:pStyle w:val="Paragraphedeliste"/>
        <w:numPr>
          <w:ilvl w:val="0"/>
          <w:numId w:val="2"/>
        </w:numPr>
        <w:spacing w:after="57"/>
        <w:rPr>
          <w:rFonts w:ascii="Calibri" w:hAnsi="Calibri"/>
        </w:rPr>
      </w:pPr>
      <w:r>
        <w:rPr>
          <w:rFonts w:ascii="Calibri" w:hAnsi="Calibri"/>
        </w:rPr>
        <w:t>Ne pas faire l’impasse sur la proximité de Sites ou Monuments classés.</w:t>
      </w:r>
    </w:p>
    <w:p w14:paraId="04598ADE" w14:textId="77777777" w:rsidR="004C6AD3" w:rsidRDefault="00000000">
      <w:pPr>
        <w:pStyle w:val="Paragraphedeliste"/>
        <w:numPr>
          <w:ilvl w:val="0"/>
          <w:numId w:val="2"/>
        </w:numPr>
        <w:spacing w:after="57"/>
        <w:jc w:val="both"/>
        <w:rPr>
          <w:rFonts w:ascii="Calibri" w:hAnsi="Calibri"/>
        </w:rPr>
      </w:pPr>
      <w:r>
        <w:rPr>
          <w:rFonts w:ascii="Calibri" w:hAnsi="Calibri"/>
        </w:rPr>
        <w:t>Sous-estimer la détermination et le professionnalisme des associations locales de protection de l’environnement</w:t>
      </w:r>
    </w:p>
    <w:p w14:paraId="7A312B5B" w14:textId="5FE1821F" w:rsidR="004C6AD3" w:rsidRDefault="00000000">
      <w:pPr>
        <w:pStyle w:val="Titre1"/>
      </w:pPr>
      <w:r>
        <w:rPr>
          <w:rFonts w:ascii="Calibri" w:hAnsi="Calibri"/>
          <w:b/>
          <w:bCs/>
          <w:color w:val="C00000"/>
          <w:sz w:val="28"/>
          <w:szCs w:val="28"/>
        </w:rPr>
        <w:t>Et les autres projets en Sud-Morvan ?</w:t>
      </w:r>
      <w:r w:rsidR="00B51C53">
        <w:rPr>
          <w:noProof/>
        </w:rPr>
        <w:drawing>
          <wp:inline distT="0" distB="0" distL="0" distR="0" wp14:anchorId="6949C649" wp14:editId="4CD73EE4">
            <wp:extent cx="451104" cy="393192"/>
            <wp:effectExtent l="0" t="0" r="6350" b="6985"/>
            <wp:docPr id="1988423983" name="Image 8" descr="Une image contenant Panneau de signalisation,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23983" name="Image 8" descr="Une image contenant Panneau de signalisation, sig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1104" cy="393192"/>
                    </a:xfrm>
                    <a:prstGeom prst="rect">
                      <a:avLst/>
                    </a:prstGeom>
                  </pic:spPr>
                </pic:pic>
              </a:graphicData>
            </a:graphic>
          </wp:inline>
        </w:drawing>
      </w:r>
    </w:p>
    <w:p w14:paraId="2F5CBA77" w14:textId="4B7ABF70" w:rsidR="00106161" w:rsidRPr="00106161" w:rsidRDefault="00106161" w:rsidP="00106161">
      <w:pPr>
        <w:jc w:val="both"/>
        <w:rPr>
          <w:rFonts w:ascii="Calibri" w:hAnsi="Calibri"/>
        </w:rPr>
      </w:pPr>
      <w:r>
        <w:rPr>
          <w:rFonts w:ascii="Calibri" w:hAnsi="Calibri"/>
        </w:rPr>
        <w:t xml:space="preserve"> Cette victoire est essentielle, mais les promoteurs sont encore actifs en Sud-Morvan. </w:t>
      </w:r>
    </w:p>
    <w:p w14:paraId="4B59318D" w14:textId="56687024" w:rsidR="004C6AD3" w:rsidRDefault="00000000">
      <w:pPr>
        <w:pStyle w:val="Paragraphedeliste"/>
        <w:numPr>
          <w:ilvl w:val="0"/>
          <w:numId w:val="2"/>
        </w:numPr>
        <w:jc w:val="both"/>
        <w:rPr>
          <w:rFonts w:ascii="Calibri" w:hAnsi="Calibri"/>
        </w:rPr>
      </w:pPr>
      <w:r>
        <w:rPr>
          <w:rFonts w:ascii="Calibri" w:hAnsi="Calibri"/>
        </w:rPr>
        <w:t xml:space="preserve">TotalEnergies est actif sur le projet </w:t>
      </w:r>
      <w:proofErr w:type="spellStart"/>
      <w:r>
        <w:rPr>
          <w:rFonts w:ascii="Calibri" w:hAnsi="Calibri"/>
        </w:rPr>
        <w:t>Marcelys</w:t>
      </w:r>
      <w:proofErr w:type="spellEnd"/>
      <w:r>
        <w:rPr>
          <w:rFonts w:ascii="Calibri" w:hAnsi="Calibri"/>
        </w:rPr>
        <w:t xml:space="preserve"> de Grury. Il a remis un dossier de Demande d’Autorisation Environnementale (DDAE)</w:t>
      </w:r>
      <w:r w:rsidR="00D74439">
        <w:rPr>
          <w:rFonts w:ascii="Calibri" w:hAnsi="Calibri"/>
        </w:rPr>
        <w:t xml:space="preserve"> </w:t>
      </w:r>
      <w:r>
        <w:rPr>
          <w:rFonts w:ascii="Calibri" w:hAnsi="Calibri"/>
        </w:rPr>
        <w:t xml:space="preserve">; les associations ont dénoncé les irrégularités et insuffisances du </w:t>
      </w:r>
      <w:r w:rsidR="004941C1">
        <w:rPr>
          <w:rFonts w:ascii="Calibri" w:hAnsi="Calibri"/>
        </w:rPr>
        <w:t>dossier ;</w:t>
      </w:r>
      <w:r>
        <w:rPr>
          <w:rFonts w:ascii="Calibri" w:hAnsi="Calibri"/>
        </w:rPr>
        <w:t xml:space="preserve"> la réponse du Préfet sur la recevabilité est attendue.</w:t>
      </w:r>
    </w:p>
    <w:p w14:paraId="37CED2DA" w14:textId="77777777" w:rsidR="004C6AD3" w:rsidRDefault="00000000">
      <w:pPr>
        <w:pStyle w:val="Paragraphedeliste"/>
        <w:numPr>
          <w:ilvl w:val="0"/>
          <w:numId w:val="2"/>
        </w:numPr>
        <w:jc w:val="both"/>
        <w:rPr>
          <w:rFonts w:ascii="Calibri" w:hAnsi="Calibri"/>
        </w:rPr>
      </w:pPr>
      <w:r>
        <w:rPr>
          <w:rFonts w:ascii="Calibri" w:hAnsi="Calibri"/>
        </w:rPr>
        <w:t>Par contre, sur le projet Tersainly, à cheval sur la Nièvre (Ternant, Saint-Seine, etc.) et la Saône-et-Loire (Marly-sous-Issy, Cressy-sur-Somme), TotalEnergies n’a déposé aucun DDAE.</w:t>
      </w:r>
    </w:p>
    <w:p w14:paraId="147BCCDD" w14:textId="6ACB477A" w:rsidR="004C6AD3" w:rsidRDefault="00000000">
      <w:pPr>
        <w:pStyle w:val="Paragraphedeliste"/>
        <w:numPr>
          <w:ilvl w:val="0"/>
          <w:numId w:val="2"/>
        </w:numPr>
        <w:jc w:val="both"/>
        <w:rPr>
          <w:rFonts w:ascii="Calibri" w:hAnsi="Calibri"/>
        </w:rPr>
      </w:pPr>
      <w:r>
        <w:rPr>
          <w:rFonts w:ascii="Calibri" w:hAnsi="Calibri"/>
        </w:rPr>
        <w:t>A Montmort, après de nombreuses péripéties, la Cour d’appel de Lyon a donné le feu vert au Préfet, mais en durcissant les conditions d’exploitation, suivant en cela les arguments de l’association Vent du Sud Morvan. Celle-ci a décidé de se pourvoir en cassation (au Conseil d’État).</w:t>
      </w:r>
      <w:r w:rsidR="004941C1">
        <w:rPr>
          <w:rFonts w:ascii="Calibri" w:hAnsi="Calibri"/>
        </w:rPr>
        <w:t xml:space="preserve"> SSM sera en soutien si nécessaire. </w:t>
      </w:r>
    </w:p>
    <w:p w14:paraId="7DD268D7" w14:textId="77777777" w:rsidR="004941C1" w:rsidRDefault="00000000">
      <w:pPr>
        <w:pStyle w:val="Paragraphedeliste"/>
        <w:numPr>
          <w:ilvl w:val="0"/>
          <w:numId w:val="2"/>
        </w:numPr>
        <w:jc w:val="both"/>
        <w:rPr>
          <w:rFonts w:ascii="Calibri" w:hAnsi="Calibri"/>
        </w:rPr>
      </w:pPr>
      <w:r>
        <w:rPr>
          <w:rFonts w:ascii="Calibri" w:hAnsi="Calibri"/>
        </w:rPr>
        <w:t xml:space="preserve">Sur la centrale éolienne de la Chapelle-au-Mans, en exploitation, SSM, NPSM, Sauvegarde Nature et Paysages de Grury et le collectif Vent de Sottise 71 ont lancé des actions en justice contre le Préfet (et indirectement l’exploitant VSB Energies Nouvelles), pour destruction et perturbation d’espèces protégées, qui ont été révélées par les suivis environnementaux des premières années d’exploitation. </w:t>
      </w:r>
    </w:p>
    <w:p w14:paraId="6C6F01B0" w14:textId="138203A4" w:rsidR="004C6AD3" w:rsidRDefault="00000000" w:rsidP="004941C1">
      <w:pPr>
        <w:pStyle w:val="Paragraphedeliste"/>
        <w:jc w:val="both"/>
        <w:rPr>
          <w:rFonts w:ascii="Calibri" w:hAnsi="Calibri"/>
        </w:rPr>
      </w:pPr>
      <w:r>
        <w:rPr>
          <w:rFonts w:ascii="Calibri" w:hAnsi="Calibri"/>
        </w:rPr>
        <w:t>Une action est en cours au Conseil d’État.</w:t>
      </w:r>
    </w:p>
    <w:p w14:paraId="271D38E6" w14:textId="73E5BB03" w:rsidR="004C6AD3" w:rsidRDefault="00000000">
      <w:pPr>
        <w:pStyle w:val="Standard"/>
        <w:jc w:val="both"/>
      </w:pPr>
      <w:r>
        <w:rPr>
          <w:rFonts w:ascii="Calibri" w:hAnsi="Calibri"/>
          <w:b/>
          <w:bCs/>
        </w:rPr>
        <w:t>En bref, les combats continuent et les associations ont encore de nombreux sujets de vigilance et d’actions.</w:t>
      </w:r>
    </w:p>
    <w:p w14:paraId="0DCF052C" w14:textId="1B8CBE2B" w:rsidR="00106161" w:rsidRPr="00106161" w:rsidRDefault="00106161">
      <w:pPr>
        <w:pStyle w:val="Standard"/>
        <w:jc w:val="both"/>
        <w:rPr>
          <w:b/>
          <w:bCs/>
          <w:color w:val="00B050"/>
          <w:sz w:val="28"/>
          <w:szCs w:val="28"/>
        </w:rPr>
      </w:pPr>
      <w:r w:rsidRPr="00106161">
        <w:rPr>
          <w:b/>
          <w:bCs/>
          <w:color w:val="00B050"/>
          <w:sz w:val="28"/>
          <w:szCs w:val="28"/>
        </w:rPr>
        <w:t>Elles ont aussi besoin que vous restiez de fidèles cotisants et donateurs.</w:t>
      </w:r>
    </w:p>
    <w:p w14:paraId="14E288E7" w14:textId="24B9967B" w:rsidR="00106161" w:rsidRPr="00106161" w:rsidRDefault="00106161">
      <w:pPr>
        <w:pStyle w:val="Standard"/>
        <w:jc w:val="both"/>
        <w:rPr>
          <w:b/>
          <w:bCs/>
          <w:color w:val="00B050"/>
          <w:sz w:val="28"/>
          <w:szCs w:val="28"/>
        </w:rPr>
      </w:pPr>
      <w:r w:rsidRPr="00106161">
        <w:rPr>
          <w:b/>
          <w:bCs/>
          <w:color w:val="00B050"/>
          <w:sz w:val="28"/>
          <w:szCs w:val="28"/>
        </w:rPr>
        <w:t>Encore un grand merci !</w:t>
      </w:r>
      <w:r w:rsidR="00B51C53">
        <w:rPr>
          <w:b/>
          <w:bCs/>
          <w:color w:val="00B050"/>
          <w:sz w:val="28"/>
          <w:szCs w:val="28"/>
        </w:rPr>
        <w:tab/>
        <w:t xml:space="preserve"> </w:t>
      </w:r>
      <w:r w:rsidR="00B51C53">
        <w:rPr>
          <w:b/>
          <w:bCs/>
          <w:noProof/>
          <w:color w:val="00B050"/>
          <w:sz w:val="28"/>
          <w:szCs w:val="28"/>
        </w:rPr>
        <w:drawing>
          <wp:inline distT="0" distB="0" distL="0" distR="0" wp14:anchorId="0EE804C0" wp14:editId="3AC082E1">
            <wp:extent cx="552921" cy="514350"/>
            <wp:effectExtent l="0" t="0" r="0" b="0"/>
            <wp:docPr id="753318531" name="Image 9" descr="Une image contenant cœur, Saint-Valentin, rouge, créativ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318531" name="Image 9" descr="Une image contenant cœur, Saint-Valentin, rouge, créativité&#10;&#10;Description générée automatiquemen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77464" cy="537181"/>
                    </a:xfrm>
                    <a:prstGeom prst="rect">
                      <a:avLst/>
                    </a:prstGeom>
                  </pic:spPr>
                </pic:pic>
              </a:graphicData>
            </a:graphic>
          </wp:inline>
        </w:drawing>
      </w:r>
    </w:p>
    <w:sectPr w:rsidR="00106161" w:rsidRPr="00106161">
      <w:footerReference w:type="default" r:id="rId16"/>
      <w:pgSz w:w="11906" w:h="16838"/>
      <w:pgMar w:top="907" w:right="907" w:bottom="1417" w:left="90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5ED0C" w14:textId="77777777" w:rsidR="00115E9A" w:rsidRDefault="00115E9A">
      <w:r>
        <w:separator/>
      </w:r>
    </w:p>
  </w:endnote>
  <w:endnote w:type="continuationSeparator" w:id="0">
    <w:p w14:paraId="70B96863" w14:textId="77777777" w:rsidR="00115E9A" w:rsidRDefault="0011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77D9" w14:textId="77777777" w:rsidR="00000000" w:rsidRDefault="00000000">
    <w:pPr>
      <w:pStyle w:val="Pieddepage"/>
      <w:jc w:val="right"/>
    </w:pPr>
    <w:r>
      <w:fldChar w:fldCharType="begin"/>
    </w:r>
    <w:r>
      <w:instrText xml:space="preserve"> PAGE </w:instrText>
    </w:r>
    <w:r>
      <w:fldChar w:fldCharType="separate"/>
    </w:r>
    <w:r>
      <w:t>3</w:t>
    </w:r>
    <w:r>
      <w:fldChar w:fldCharType="end"/>
    </w:r>
  </w:p>
  <w:p w14:paraId="42F27A0D"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1059" w14:textId="77777777" w:rsidR="00115E9A" w:rsidRDefault="00115E9A">
      <w:r>
        <w:rPr>
          <w:color w:val="000000"/>
        </w:rPr>
        <w:separator/>
      </w:r>
    </w:p>
  </w:footnote>
  <w:footnote w:type="continuationSeparator" w:id="0">
    <w:p w14:paraId="458C8BF8" w14:textId="77777777" w:rsidR="00115E9A" w:rsidRDefault="00115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D327F"/>
    <w:multiLevelType w:val="multilevel"/>
    <w:tmpl w:val="B8DED18C"/>
    <w:styleLink w:val="NoListWW"/>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 w15:restartNumberingAfterBreak="0">
    <w:nsid w:val="40E60727"/>
    <w:multiLevelType w:val="multilevel"/>
    <w:tmpl w:val="0450C1C2"/>
    <w:styleLink w:val="WWNum1"/>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82729055">
    <w:abstractNumId w:val="0"/>
  </w:num>
  <w:num w:numId="2" w16cid:durableId="1390232044">
    <w:abstractNumId w:val="1"/>
  </w:num>
  <w:num w:numId="3" w16cid:durableId="1964263128">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C6AD3"/>
    <w:rsid w:val="00106161"/>
    <w:rsid w:val="00115E9A"/>
    <w:rsid w:val="00264BB9"/>
    <w:rsid w:val="00344B21"/>
    <w:rsid w:val="004941C1"/>
    <w:rsid w:val="004C6AD3"/>
    <w:rsid w:val="00590CA0"/>
    <w:rsid w:val="0063529D"/>
    <w:rsid w:val="007E6CF7"/>
    <w:rsid w:val="00AB7A2F"/>
    <w:rsid w:val="00B51C53"/>
    <w:rsid w:val="00D74439"/>
    <w:rsid w:val="00E12CF2"/>
    <w:rsid w:val="00E85D15"/>
    <w:rsid w:val="00F62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7D247"/>
  <w15:docId w15:val="{8F1A5E41-5D31-460C-B03D-2A903E15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F"/>
        <w:kern w:val="3"/>
        <w:sz w:val="22"/>
        <w:szCs w:val="22"/>
        <w:lang w:val="fr-F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Standard"/>
    <w:next w:val="Standard"/>
    <w:uiPriority w:val="9"/>
    <w:qFormat/>
    <w:pPr>
      <w:keepNext/>
      <w:keepLines/>
      <w:spacing w:before="360" w:after="80"/>
      <w:outlineLvl w:val="0"/>
    </w:pPr>
    <w:rPr>
      <w:rFonts w:ascii="Aptos Display" w:eastAsia="F" w:hAnsi="Aptos Display"/>
      <w:color w:val="0F4761"/>
      <w:sz w:val="40"/>
      <w:szCs w:val="40"/>
    </w:rPr>
  </w:style>
  <w:style w:type="paragraph" w:styleId="Titre2">
    <w:name w:val="heading 2"/>
    <w:basedOn w:val="Standard"/>
    <w:next w:val="Standard"/>
    <w:uiPriority w:val="9"/>
    <w:unhideWhenUsed/>
    <w:qFormat/>
    <w:pPr>
      <w:keepNext/>
      <w:keepLines/>
      <w:spacing w:before="160" w:after="80"/>
      <w:outlineLvl w:val="1"/>
    </w:pPr>
    <w:rPr>
      <w:rFonts w:ascii="Aptos Display" w:eastAsia="F" w:hAnsi="Aptos Display"/>
      <w:color w:val="0F4761"/>
      <w:sz w:val="32"/>
      <w:szCs w:val="32"/>
    </w:rPr>
  </w:style>
  <w:style w:type="paragraph" w:styleId="Titre3">
    <w:name w:val="heading 3"/>
    <w:basedOn w:val="Standard"/>
    <w:next w:val="Standard"/>
    <w:uiPriority w:val="9"/>
    <w:semiHidden/>
    <w:unhideWhenUsed/>
    <w:qFormat/>
    <w:pPr>
      <w:keepNext/>
      <w:keepLines/>
      <w:spacing w:before="160" w:after="80"/>
      <w:outlineLvl w:val="2"/>
    </w:pPr>
    <w:rPr>
      <w:rFonts w:eastAsia="F"/>
      <w:color w:val="0F4761"/>
      <w:sz w:val="28"/>
      <w:szCs w:val="28"/>
    </w:rPr>
  </w:style>
  <w:style w:type="paragraph" w:styleId="Titre4">
    <w:name w:val="heading 4"/>
    <w:basedOn w:val="Standard"/>
    <w:next w:val="Standard"/>
    <w:uiPriority w:val="9"/>
    <w:semiHidden/>
    <w:unhideWhenUsed/>
    <w:qFormat/>
    <w:pPr>
      <w:keepNext/>
      <w:keepLines/>
      <w:spacing w:before="80" w:after="40"/>
      <w:outlineLvl w:val="3"/>
    </w:pPr>
    <w:rPr>
      <w:rFonts w:eastAsia="F"/>
      <w:i/>
      <w:iCs/>
      <w:color w:val="0F4761"/>
    </w:rPr>
  </w:style>
  <w:style w:type="paragraph" w:styleId="Titre5">
    <w:name w:val="heading 5"/>
    <w:basedOn w:val="Standard"/>
    <w:next w:val="Standard"/>
    <w:uiPriority w:val="9"/>
    <w:semiHidden/>
    <w:unhideWhenUsed/>
    <w:qFormat/>
    <w:pPr>
      <w:keepNext/>
      <w:keepLines/>
      <w:spacing w:before="80" w:after="40"/>
      <w:outlineLvl w:val="4"/>
    </w:pPr>
    <w:rPr>
      <w:rFonts w:eastAsia="F"/>
      <w:color w:val="0F4761"/>
    </w:rPr>
  </w:style>
  <w:style w:type="paragraph" w:styleId="Titre6">
    <w:name w:val="heading 6"/>
    <w:basedOn w:val="Standard"/>
    <w:next w:val="Standard"/>
    <w:uiPriority w:val="9"/>
    <w:semiHidden/>
    <w:unhideWhenUsed/>
    <w:qFormat/>
    <w:pPr>
      <w:keepNext/>
      <w:keepLines/>
      <w:spacing w:before="40" w:after="0"/>
      <w:outlineLvl w:val="5"/>
    </w:pPr>
    <w:rPr>
      <w:rFonts w:eastAsia="F"/>
      <w:i/>
      <w:iCs/>
      <w:color w:val="595959"/>
    </w:rPr>
  </w:style>
  <w:style w:type="paragraph" w:styleId="Titre7">
    <w:name w:val="heading 7"/>
    <w:basedOn w:val="Standard"/>
    <w:next w:val="Standard"/>
    <w:pPr>
      <w:keepNext/>
      <w:keepLines/>
      <w:spacing w:before="40" w:after="0"/>
      <w:outlineLvl w:val="6"/>
    </w:pPr>
    <w:rPr>
      <w:rFonts w:eastAsia="F"/>
      <w:color w:val="595959"/>
    </w:rPr>
  </w:style>
  <w:style w:type="paragraph" w:styleId="Titre8">
    <w:name w:val="heading 8"/>
    <w:basedOn w:val="Standard"/>
    <w:next w:val="Standard"/>
    <w:pPr>
      <w:keepNext/>
      <w:keepLines/>
      <w:spacing w:after="0"/>
      <w:outlineLvl w:val="7"/>
    </w:pPr>
    <w:rPr>
      <w:rFonts w:eastAsia="F"/>
      <w:i/>
      <w:iCs/>
      <w:color w:val="272727"/>
    </w:rPr>
  </w:style>
  <w:style w:type="paragraph" w:styleId="Titre9">
    <w:name w:val="heading 9"/>
    <w:basedOn w:val="Standard"/>
    <w:next w:val="Standard"/>
    <w:pPr>
      <w:keepNext/>
      <w:keepLines/>
      <w:spacing w:after="0"/>
      <w:outlineLvl w:val="8"/>
    </w:pPr>
    <w:rPr>
      <w:rFonts w:eastAsia="F"/>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sz w:val="24"/>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re">
    <w:name w:val="Title"/>
    <w:basedOn w:val="Standard"/>
    <w:next w:val="Standard"/>
    <w:uiPriority w:val="10"/>
    <w:qFormat/>
    <w:pPr>
      <w:spacing w:after="80" w:line="240" w:lineRule="auto"/>
      <w:contextualSpacing/>
    </w:pPr>
    <w:rPr>
      <w:rFonts w:ascii="Aptos Display" w:eastAsia="F" w:hAnsi="Aptos Display"/>
      <w:spacing w:val="-10"/>
      <w:sz w:val="56"/>
      <w:szCs w:val="56"/>
    </w:rPr>
  </w:style>
  <w:style w:type="paragraph" w:styleId="Sous-titre">
    <w:name w:val="Subtitle"/>
    <w:basedOn w:val="Standard"/>
    <w:next w:val="Standard"/>
    <w:uiPriority w:val="11"/>
    <w:qFormat/>
    <w:rPr>
      <w:rFonts w:eastAsia="F"/>
      <w:color w:val="595959"/>
      <w:spacing w:val="15"/>
      <w:sz w:val="28"/>
      <w:szCs w:val="28"/>
    </w:rPr>
  </w:style>
  <w:style w:type="paragraph" w:styleId="Citation">
    <w:name w:val="Quote"/>
    <w:basedOn w:val="Standard"/>
    <w:next w:val="Standard"/>
    <w:pPr>
      <w:spacing w:before="160"/>
      <w:jc w:val="center"/>
    </w:pPr>
    <w:rPr>
      <w:i/>
      <w:iCs/>
      <w:color w:val="404040"/>
    </w:rPr>
  </w:style>
  <w:style w:type="paragraph" w:styleId="Paragraphedeliste">
    <w:name w:val="List Paragraph"/>
    <w:basedOn w:val="Standard"/>
    <w:pPr>
      <w:ind w:left="720"/>
      <w:contextualSpacing/>
    </w:pPr>
  </w:style>
  <w:style w:type="paragraph" w:styleId="Citationintense">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character" w:customStyle="1" w:styleId="DefaultParagraphFontWW">
    <w:name w:val="Default Paragraph Font (WW)"/>
  </w:style>
  <w:style w:type="character" w:customStyle="1" w:styleId="Titre1Car">
    <w:name w:val="Titre 1 Car"/>
    <w:basedOn w:val="DefaultParagraphFontWW"/>
    <w:rPr>
      <w:rFonts w:ascii="Aptos Display" w:eastAsia="F" w:hAnsi="Aptos Display" w:cs="F"/>
      <w:color w:val="0F4761"/>
      <w:sz w:val="40"/>
      <w:szCs w:val="40"/>
    </w:rPr>
  </w:style>
  <w:style w:type="character" w:customStyle="1" w:styleId="Titre2Car">
    <w:name w:val="Titre 2 Car"/>
    <w:basedOn w:val="DefaultParagraphFontWW"/>
    <w:rPr>
      <w:rFonts w:ascii="Aptos Display" w:eastAsia="F" w:hAnsi="Aptos Display" w:cs="F"/>
      <w:color w:val="0F4761"/>
      <w:sz w:val="32"/>
      <w:szCs w:val="32"/>
    </w:rPr>
  </w:style>
  <w:style w:type="character" w:customStyle="1" w:styleId="Titre3Car">
    <w:name w:val="Titre 3 Car"/>
    <w:basedOn w:val="DefaultParagraphFontWW"/>
    <w:rPr>
      <w:rFonts w:eastAsia="F" w:cs="F"/>
      <w:color w:val="0F4761"/>
      <w:sz w:val="28"/>
      <w:szCs w:val="28"/>
    </w:rPr>
  </w:style>
  <w:style w:type="character" w:customStyle="1" w:styleId="Titre4Car">
    <w:name w:val="Titre 4 Car"/>
    <w:basedOn w:val="DefaultParagraphFontWW"/>
    <w:rPr>
      <w:rFonts w:eastAsia="F" w:cs="F"/>
      <w:i/>
      <w:iCs/>
      <w:color w:val="0F4761"/>
    </w:rPr>
  </w:style>
  <w:style w:type="character" w:customStyle="1" w:styleId="Titre5Car">
    <w:name w:val="Titre 5 Car"/>
    <w:basedOn w:val="DefaultParagraphFontWW"/>
    <w:rPr>
      <w:rFonts w:eastAsia="F" w:cs="F"/>
      <w:color w:val="0F4761"/>
    </w:rPr>
  </w:style>
  <w:style w:type="character" w:customStyle="1" w:styleId="Titre6Car">
    <w:name w:val="Titre 6 Car"/>
    <w:basedOn w:val="DefaultParagraphFontWW"/>
    <w:rPr>
      <w:rFonts w:eastAsia="F" w:cs="F"/>
      <w:i/>
      <w:iCs/>
      <w:color w:val="595959"/>
    </w:rPr>
  </w:style>
  <w:style w:type="character" w:customStyle="1" w:styleId="Titre7Car">
    <w:name w:val="Titre 7 Car"/>
    <w:basedOn w:val="DefaultParagraphFontWW"/>
    <w:rPr>
      <w:rFonts w:eastAsia="F" w:cs="F"/>
      <w:color w:val="595959"/>
    </w:rPr>
  </w:style>
  <w:style w:type="character" w:customStyle="1" w:styleId="Titre8Car">
    <w:name w:val="Titre 8 Car"/>
    <w:basedOn w:val="DefaultParagraphFontWW"/>
    <w:rPr>
      <w:rFonts w:eastAsia="F" w:cs="F"/>
      <w:i/>
      <w:iCs/>
      <w:color w:val="272727"/>
    </w:rPr>
  </w:style>
  <w:style w:type="character" w:customStyle="1" w:styleId="Titre9Car">
    <w:name w:val="Titre 9 Car"/>
    <w:basedOn w:val="DefaultParagraphFontWW"/>
    <w:rPr>
      <w:rFonts w:eastAsia="F" w:cs="F"/>
      <w:color w:val="272727"/>
    </w:rPr>
  </w:style>
  <w:style w:type="character" w:customStyle="1" w:styleId="TitreCar">
    <w:name w:val="Titre Car"/>
    <w:basedOn w:val="DefaultParagraphFontWW"/>
    <w:rPr>
      <w:rFonts w:ascii="Aptos Display" w:eastAsia="F" w:hAnsi="Aptos Display" w:cs="F"/>
      <w:spacing w:val="-10"/>
      <w:kern w:val="3"/>
      <w:sz w:val="56"/>
      <w:szCs w:val="56"/>
    </w:rPr>
  </w:style>
  <w:style w:type="character" w:customStyle="1" w:styleId="Sous-titreCar">
    <w:name w:val="Sous-titre Car"/>
    <w:basedOn w:val="DefaultParagraphFontWW"/>
    <w:rPr>
      <w:rFonts w:eastAsia="F" w:cs="F"/>
      <w:color w:val="595959"/>
      <w:spacing w:val="15"/>
      <w:sz w:val="28"/>
      <w:szCs w:val="28"/>
    </w:rPr>
  </w:style>
  <w:style w:type="character" w:customStyle="1" w:styleId="CitationCar">
    <w:name w:val="Citation Car"/>
    <w:basedOn w:val="DefaultParagraphFontWW"/>
    <w:rPr>
      <w:i/>
      <w:iCs/>
      <w:color w:val="404040"/>
    </w:rPr>
  </w:style>
  <w:style w:type="character" w:styleId="Accentuationintense">
    <w:name w:val="Intense Emphasis"/>
    <w:basedOn w:val="DefaultParagraphFontWW"/>
    <w:rPr>
      <w:i/>
      <w:iCs/>
      <w:color w:val="0F4761"/>
    </w:rPr>
  </w:style>
  <w:style w:type="character" w:customStyle="1" w:styleId="CitationintenseCar">
    <w:name w:val="Citation intense Car"/>
    <w:basedOn w:val="DefaultParagraphFontWW"/>
    <w:rPr>
      <w:i/>
      <w:iCs/>
      <w:color w:val="0F4761"/>
    </w:rPr>
  </w:style>
  <w:style w:type="character" w:styleId="Rfrenceintense">
    <w:name w:val="Intense Reference"/>
    <w:basedOn w:val="DefaultParagraphFontWW"/>
    <w:rPr>
      <w:b/>
      <w:bCs/>
      <w:smallCaps/>
      <w:color w:val="0F4761"/>
      <w:spacing w:val="5"/>
    </w:rPr>
  </w:style>
  <w:style w:type="character" w:customStyle="1" w:styleId="Internetlink">
    <w:name w:val="Internet link"/>
    <w:basedOn w:val="DefaultParagraphFontWW"/>
    <w:rPr>
      <w:color w:val="467886"/>
      <w:u w:val="single"/>
    </w:rPr>
  </w:style>
  <w:style w:type="character" w:styleId="Mentionnonrsolue">
    <w:name w:val="Unresolved Mention"/>
    <w:basedOn w:val="DefaultParagraphFontWW"/>
    <w:rPr>
      <w:color w:val="605E5C"/>
      <w:shd w:val="clear" w:color="auto" w:fill="E1DFDD"/>
    </w:rPr>
  </w:style>
  <w:style w:type="character" w:customStyle="1" w:styleId="En-tteCar">
    <w:name w:val="En-tête Car"/>
    <w:basedOn w:val="DefaultParagraphFontWW"/>
  </w:style>
  <w:style w:type="character" w:customStyle="1" w:styleId="PieddepageCar">
    <w:name w:val="Pied de page Car"/>
    <w:basedOn w:val="DefaultParagraphFontWW"/>
  </w:style>
  <w:style w:type="character" w:customStyle="1" w:styleId="ListLabel1">
    <w:name w:val="ListLabel 1"/>
    <w:rPr>
      <w:rFonts w:eastAsia="Aptos" w:cs="Times New Roman"/>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styleId="Lienhypertexte">
    <w:name w:val="Hyperlink"/>
    <w:basedOn w:val="Policepardfaut"/>
    <w:uiPriority w:val="99"/>
    <w:unhideWhenUsed/>
    <w:rsid w:val="00590CA0"/>
    <w:rPr>
      <w:color w:val="467886" w:themeColor="hyperlink"/>
      <w:u w:val="single"/>
    </w:rPr>
  </w:style>
  <w:style w:type="numbering" w:customStyle="1" w:styleId="NoListWW">
    <w:name w:val="No List (WW)"/>
    <w:basedOn w:val="Aucuneliste"/>
    <w:pPr>
      <w:numPr>
        <w:numId w:val="1"/>
      </w:numPr>
    </w:pPr>
  </w:style>
  <w:style w:type="numbering" w:customStyle="1" w:styleId="WWNum1">
    <w:name w:val="WWNum1"/>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9142498">
      <w:bodyDiv w:val="1"/>
      <w:marLeft w:val="0"/>
      <w:marRight w:val="0"/>
      <w:marTop w:val="0"/>
      <w:marBottom w:val="0"/>
      <w:divBdr>
        <w:top w:val="none" w:sz="0" w:space="0" w:color="auto"/>
        <w:left w:val="none" w:sz="0" w:space="0" w:color="auto"/>
        <w:bottom w:val="none" w:sz="0" w:space="0" w:color="auto"/>
        <w:right w:val="none" w:sz="0" w:space="0" w:color="auto"/>
      </w:divBdr>
    </w:div>
    <w:div w:id="136979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urpre.com/fr/dictionnaire/file/champagne"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yperlink" Target="https://pixabay.com/fr/coeur-l-amour-merci-romance-red-296983/" TargetMode="External"/><Relationship Id="rId10" Type="http://schemas.openxmlformats.org/officeDocument/2006/relationships/hyperlink" Target="http://www.sauvegardesudmorvan.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1610</Words>
  <Characters>8668</Characters>
  <Application>Microsoft Office Word</Application>
  <DocSecurity>0</DocSecurity>
  <Lines>135</Lines>
  <Paragraphs>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LANDROT</dc:creator>
  <cp:lastModifiedBy>Louis LANDROT</cp:lastModifiedBy>
  <cp:revision>4</cp:revision>
  <dcterms:created xsi:type="dcterms:W3CDTF">2024-09-19T15:27:00Z</dcterms:created>
  <dcterms:modified xsi:type="dcterms:W3CDTF">2024-09-19T17:10:00Z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